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15CC96">
      <w:pPr>
        <w:jc w:val="right"/>
        <w:rPr>
          <w:rFonts w:hint="eastAsia" w:ascii="微软雅黑" w:hAnsi="微软雅黑" w:eastAsia="微软雅黑" w:cs="微软雅黑"/>
          <w:b/>
          <w:bCs/>
          <w:sz w:val="72"/>
          <w:szCs w:val="72"/>
          <w:lang w:val="en-US" w:eastAsia="zh-CN"/>
        </w:rPr>
      </w:pPr>
    </w:p>
    <w:p w14:paraId="34E2FF13">
      <w:pPr>
        <w:jc w:val="right"/>
        <w:rPr>
          <w:rFonts w:hint="eastAsia" w:ascii="微软雅黑" w:hAnsi="微软雅黑" w:eastAsia="微软雅黑" w:cs="微软雅黑"/>
          <w:b/>
          <w:bCs/>
          <w:sz w:val="72"/>
          <w:szCs w:val="72"/>
          <w:lang w:val="en-US" w:eastAsia="zh-CN"/>
        </w:rPr>
      </w:pPr>
    </w:p>
    <w:p w14:paraId="2326D64F">
      <w:pPr>
        <w:jc w:val="center"/>
        <w:rPr>
          <w:rFonts w:hint="eastAsia" w:ascii="微软雅黑" w:hAnsi="微软雅黑" w:eastAsia="微软雅黑" w:cs="微软雅黑"/>
          <w:b/>
          <w:bCs/>
          <w:sz w:val="72"/>
          <w:szCs w:val="72"/>
          <w:lang w:val="en-US" w:eastAsia="zh-CN"/>
        </w:rPr>
      </w:pPr>
      <w:r>
        <w:rPr>
          <w:rFonts w:hint="eastAsia" w:ascii="微软雅黑" w:hAnsi="微软雅黑" w:eastAsia="微软雅黑" w:cs="微软雅黑"/>
          <w:b/>
          <w:bCs/>
          <w:sz w:val="72"/>
          <w:szCs w:val="72"/>
          <w:lang w:val="en-US" w:eastAsia="zh-CN"/>
        </w:rPr>
        <w:t>招投标管理系统</w:t>
      </w:r>
    </w:p>
    <w:p w14:paraId="2C0B98E2">
      <w:pPr>
        <w:jc w:val="center"/>
        <w:rPr>
          <w:rFonts w:hint="eastAsia"/>
          <w:b/>
          <w:bCs/>
          <w:sz w:val="48"/>
          <w:szCs w:val="48"/>
        </w:rPr>
      </w:pPr>
      <w:r>
        <w:rPr>
          <w:rFonts w:hint="eastAsia" w:asciiTheme="minorHAnsi" w:hAnsiTheme="minorHAnsi" w:eastAsiaTheme="minorEastAsia" w:cstheme="minorHAnsi"/>
          <w:b/>
          <w:bCs/>
          <w:kern w:val="0"/>
          <w:sz w:val="30"/>
          <w:szCs w:val="30"/>
        </w:rPr>
        <w:t>校采通V3.1</w:t>
      </w:r>
      <w:r>
        <w:rPr>
          <w:rFonts w:hint="eastAsia" w:cstheme="minorHAnsi"/>
          <w:b/>
          <w:bCs/>
          <w:kern w:val="0"/>
          <w:sz w:val="30"/>
          <w:szCs w:val="30"/>
          <w:lang w:val="en-US" w:eastAsia="zh-CN"/>
        </w:rPr>
        <w:t>版本</w:t>
      </w:r>
    </w:p>
    <w:p w14:paraId="35900D55">
      <w:pPr>
        <w:jc w:val="center"/>
        <w:rPr>
          <w:rFonts w:hint="eastAsia"/>
          <w:b/>
          <w:bCs/>
          <w:sz w:val="48"/>
          <w:szCs w:val="48"/>
        </w:rPr>
      </w:pPr>
    </w:p>
    <w:p w14:paraId="3AA09FA8">
      <w:pPr>
        <w:jc w:val="center"/>
        <w:rPr>
          <w:rFonts w:hint="eastAsia"/>
          <w:b/>
          <w:bCs/>
          <w:sz w:val="48"/>
          <w:szCs w:val="48"/>
        </w:rPr>
      </w:pPr>
    </w:p>
    <w:p w14:paraId="6C029048">
      <w:pPr>
        <w:jc w:val="center"/>
        <w:rPr>
          <w:rFonts w:hint="eastAsia"/>
          <w:b/>
          <w:bCs/>
          <w:sz w:val="48"/>
          <w:szCs w:val="48"/>
        </w:rPr>
      </w:pPr>
    </w:p>
    <w:p w14:paraId="3F7128BA">
      <w:pPr>
        <w:jc w:val="center"/>
        <w:rPr>
          <w:rFonts w:hint="eastAsia"/>
          <w:b/>
          <w:bCs/>
          <w:sz w:val="48"/>
          <w:szCs w:val="48"/>
        </w:rPr>
      </w:pPr>
    </w:p>
    <w:p w14:paraId="2B83D26C">
      <w:pPr>
        <w:jc w:val="center"/>
        <w:rPr>
          <w:rFonts w:hint="eastAsia"/>
          <w:b/>
          <w:bCs/>
          <w:sz w:val="48"/>
          <w:szCs w:val="48"/>
        </w:rPr>
      </w:pPr>
    </w:p>
    <w:p w14:paraId="013E4ECD">
      <w:pPr>
        <w:jc w:val="both"/>
        <w:rPr>
          <w:rFonts w:hint="eastAsia"/>
          <w:b/>
          <w:bCs/>
          <w:sz w:val="48"/>
          <w:szCs w:val="48"/>
        </w:rPr>
      </w:pPr>
    </w:p>
    <w:p w14:paraId="520545B4">
      <w:pPr>
        <w:jc w:val="center"/>
        <w:rPr>
          <w:b/>
          <w:bCs/>
          <w:sz w:val="48"/>
          <w:szCs w:val="48"/>
        </w:rPr>
      </w:pPr>
      <w:r>
        <w:rPr>
          <w:rFonts w:hint="eastAsia"/>
          <w:b/>
          <w:bCs/>
          <w:sz w:val="48"/>
          <w:szCs w:val="48"/>
          <w:lang w:val="en-US" w:eastAsia="zh-CN"/>
        </w:rPr>
        <w:t>项目部门</w:t>
      </w:r>
      <w:r>
        <w:rPr>
          <w:rFonts w:hint="eastAsia"/>
          <w:b/>
          <w:bCs/>
          <w:sz w:val="48"/>
          <w:szCs w:val="48"/>
        </w:rPr>
        <w:t>操作手册</w:t>
      </w:r>
    </w:p>
    <w:p w14:paraId="7A34D4E7">
      <w:pPr>
        <w:bidi w:val="0"/>
        <w:jc w:val="center"/>
        <w:rPr>
          <w:rFonts w:hint="default" w:asciiTheme="minorHAnsi" w:hAnsiTheme="minorHAnsi" w:eastAsiaTheme="minorEastAsia" w:cstheme="minorBidi"/>
          <w:kern w:val="2"/>
          <w:sz w:val="21"/>
          <w:szCs w:val="24"/>
          <w:lang w:val="en-US" w:eastAsia="zh-CN" w:bidi="ar-SA"/>
        </w:rPr>
      </w:pPr>
      <w:r>
        <w:rPr>
          <w:rFonts w:hint="eastAsia"/>
          <w:b/>
          <w:bCs/>
          <w:sz w:val="36"/>
          <w:szCs w:val="36"/>
        </w:rPr>
        <w:t>202</w:t>
      </w:r>
      <w:r>
        <w:rPr>
          <w:rFonts w:hint="eastAsia"/>
          <w:b/>
          <w:bCs/>
          <w:sz w:val="36"/>
          <w:szCs w:val="36"/>
          <w:lang w:val="en-US" w:eastAsia="zh-CN"/>
        </w:rPr>
        <w:t>5</w:t>
      </w:r>
      <w:r>
        <w:rPr>
          <w:rFonts w:hint="eastAsia"/>
          <w:b/>
          <w:bCs/>
          <w:sz w:val="36"/>
          <w:szCs w:val="36"/>
        </w:rPr>
        <w:t>-</w:t>
      </w:r>
      <w:r>
        <w:rPr>
          <w:rFonts w:hint="eastAsia"/>
          <w:b/>
          <w:bCs/>
          <w:sz w:val="36"/>
          <w:szCs w:val="36"/>
          <w:lang w:val="en-US" w:eastAsia="zh-CN"/>
        </w:rPr>
        <w:t>06</w:t>
      </w:r>
    </w:p>
    <w:p w14:paraId="48C35860">
      <w:pPr>
        <w:bidi w:val="0"/>
        <w:rPr>
          <w:rFonts w:hint="eastAsia"/>
          <w:lang w:val="en-US" w:eastAsia="zh-CN"/>
        </w:rPr>
      </w:pPr>
    </w:p>
    <w:p w14:paraId="7A248C21">
      <w:pPr>
        <w:bidi w:val="0"/>
        <w:rPr>
          <w:rFonts w:hint="eastAsia"/>
          <w:lang w:val="en-US" w:eastAsia="zh-CN"/>
        </w:rPr>
      </w:pPr>
    </w:p>
    <w:p w14:paraId="487B7F0C">
      <w:pPr>
        <w:bidi w:val="0"/>
        <w:rPr>
          <w:rFonts w:hint="eastAsia"/>
          <w:lang w:val="en-US" w:eastAsia="zh-CN"/>
        </w:rPr>
      </w:pPr>
    </w:p>
    <w:p w14:paraId="1AB82F6E">
      <w:pPr>
        <w:bidi w:val="0"/>
        <w:rPr>
          <w:rFonts w:hint="eastAsia"/>
          <w:lang w:val="en-US" w:eastAsia="zh-CN"/>
        </w:rPr>
      </w:pPr>
    </w:p>
    <w:p w14:paraId="032F6C61">
      <w:pPr>
        <w:bidi w:val="0"/>
        <w:rPr>
          <w:rFonts w:hint="eastAsia"/>
          <w:lang w:val="en-US" w:eastAsia="zh-CN"/>
        </w:rPr>
      </w:pPr>
    </w:p>
    <w:p w14:paraId="0BAD2955">
      <w:pPr>
        <w:bidi w:val="0"/>
        <w:rPr>
          <w:rFonts w:hint="eastAsia"/>
          <w:lang w:val="en-US" w:eastAsia="zh-CN"/>
        </w:rPr>
      </w:pPr>
    </w:p>
    <w:p w14:paraId="629C7420">
      <w:pPr>
        <w:bidi w:val="0"/>
        <w:rPr>
          <w:rFonts w:hint="eastAsia"/>
          <w:lang w:val="en-US" w:eastAsia="zh-CN"/>
        </w:rPr>
      </w:pPr>
    </w:p>
    <w:p w14:paraId="35082F2C">
      <w:pPr>
        <w:bidi w:val="0"/>
        <w:rPr>
          <w:rFonts w:hint="eastAsia"/>
          <w:lang w:val="en-US" w:eastAsia="zh-CN"/>
        </w:rPr>
      </w:pPr>
    </w:p>
    <w:p w14:paraId="6AF1E26B">
      <w:pPr>
        <w:bidi w:val="0"/>
        <w:rPr>
          <w:rFonts w:hint="eastAsia"/>
          <w:lang w:val="en-US" w:eastAsia="zh-CN"/>
        </w:rPr>
      </w:pPr>
    </w:p>
    <w:p w14:paraId="5A69AEB6">
      <w:pPr>
        <w:bidi w:val="0"/>
        <w:rPr>
          <w:rFonts w:hint="eastAsia"/>
          <w:lang w:val="en-US" w:eastAsia="zh-CN"/>
        </w:rPr>
      </w:pPr>
    </w:p>
    <w:p w14:paraId="574B4F89">
      <w:pPr>
        <w:tabs>
          <w:tab w:val="left" w:pos="2753"/>
        </w:tabs>
        <w:bidi w:val="0"/>
        <w:jc w:val="center"/>
        <w:rPr>
          <w:rFonts w:hint="eastAsia"/>
          <w:b/>
          <w:bCs/>
          <w:sz w:val="30"/>
          <w:szCs w:val="30"/>
          <w:lang w:val="en-US" w:eastAsia="zh-CN"/>
        </w:rPr>
      </w:pPr>
    </w:p>
    <w:p w14:paraId="7BD27781">
      <w:pPr>
        <w:tabs>
          <w:tab w:val="left" w:pos="2753"/>
        </w:tabs>
        <w:bidi w:val="0"/>
        <w:jc w:val="center"/>
        <w:rPr>
          <w:rFonts w:hint="eastAsia"/>
          <w:b/>
          <w:bCs/>
          <w:sz w:val="30"/>
          <w:szCs w:val="30"/>
          <w:lang w:val="en-US" w:eastAsia="zh-CN"/>
        </w:rPr>
      </w:pPr>
      <w:r>
        <w:rPr>
          <w:rFonts w:hint="eastAsia"/>
          <w:b/>
          <w:bCs/>
          <w:sz w:val="30"/>
          <w:szCs w:val="30"/>
          <w:lang w:val="en-US" w:eastAsia="zh-CN"/>
        </w:rPr>
        <w:t>湖南好采投信息技术有限公司编制</w:t>
      </w:r>
    </w:p>
    <w:sdt>
      <w:sdtPr>
        <w:rPr>
          <w:rFonts w:ascii="宋体" w:hAnsi="宋体" w:eastAsia="宋体" w:cstheme="minorBidi"/>
          <w:kern w:val="2"/>
          <w:sz w:val="21"/>
          <w:szCs w:val="24"/>
          <w:lang w:val="en-US" w:eastAsia="zh-CN" w:bidi="ar-SA"/>
        </w:rPr>
        <w:id w:val="147482962"/>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6A7D7EA4">
          <w:pPr>
            <w:spacing w:before="0" w:beforeLines="0" w:after="0" w:afterLines="0" w:line="240" w:lineRule="auto"/>
            <w:ind w:left="0" w:leftChars="0" w:right="0" w:rightChars="0" w:firstLine="0" w:firstLineChars="0"/>
            <w:jc w:val="cente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14:paraId="5ACB74F0">
          <w:pPr>
            <w:pStyle w:val="6"/>
            <w:tabs>
              <w:tab w:val="right" w:leader="dot" w:pos="8306"/>
            </w:tabs>
          </w:pPr>
          <w:r>
            <w:fldChar w:fldCharType="begin"/>
          </w:r>
          <w:r>
            <w:instrText xml:space="preserve">TOC \o "1-3" \h \u </w:instrText>
          </w:r>
          <w:r>
            <w:fldChar w:fldCharType="separate"/>
          </w:r>
          <w:r>
            <w:fldChar w:fldCharType="begin"/>
          </w:r>
          <w:r>
            <w:instrText xml:space="preserve"> HYPERLINK \l _Toc11680 </w:instrText>
          </w:r>
          <w:r>
            <w:fldChar w:fldCharType="separate"/>
          </w:r>
          <w:r>
            <w:rPr>
              <w:rFonts w:hint="eastAsia" w:ascii="华文中宋" w:hAnsi="华文中宋" w:eastAsia="华文中宋" w:cs="华文中宋"/>
              <w:bCs/>
              <w:szCs w:val="32"/>
              <w:lang w:val="en-US" w:eastAsia="zh-CN"/>
            </w:rPr>
            <w:t>第一章：系统说明</w:t>
          </w:r>
          <w:r>
            <w:tab/>
          </w:r>
          <w:r>
            <w:fldChar w:fldCharType="begin"/>
          </w:r>
          <w:r>
            <w:instrText xml:space="preserve"> PAGEREF _Toc11680 \h </w:instrText>
          </w:r>
          <w:r>
            <w:fldChar w:fldCharType="separate"/>
          </w:r>
          <w:r>
            <w:t>1</w:t>
          </w:r>
          <w:r>
            <w:fldChar w:fldCharType="end"/>
          </w:r>
          <w:r>
            <w:fldChar w:fldCharType="end"/>
          </w:r>
        </w:p>
        <w:p w14:paraId="4B3C0143">
          <w:pPr>
            <w:pStyle w:val="6"/>
            <w:tabs>
              <w:tab w:val="right" w:leader="dot" w:pos="8306"/>
            </w:tabs>
          </w:pPr>
          <w:r>
            <w:fldChar w:fldCharType="begin"/>
          </w:r>
          <w:r>
            <w:instrText xml:space="preserve"> HYPERLINK \l _Toc29108 </w:instrText>
          </w:r>
          <w:r>
            <w:fldChar w:fldCharType="separate"/>
          </w:r>
          <w:r>
            <w:rPr>
              <w:rFonts w:hint="eastAsia" w:ascii="华文中宋" w:hAnsi="华文中宋" w:eastAsia="华文中宋" w:cs="华文中宋"/>
              <w:bCs/>
              <w:szCs w:val="32"/>
              <w:lang w:val="en-US" w:eastAsia="zh-CN"/>
            </w:rPr>
            <w:t>第二章：系统登录</w:t>
          </w:r>
          <w:r>
            <w:tab/>
          </w:r>
          <w:r>
            <w:fldChar w:fldCharType="begin"/>
          </w:r>
          <w:r>
            <w:instrText xml:space="preserve"> PAGEREF _Toc29108 \h </w:instrText>
          </w:r>
          <w:r>
            <w:fldChar w:fldCharType="separate"/>
          </w:r>
          <w:r>
            <w:t>2</w:t>
          </w:r>
          <w:r>
            <w:fldChar w:fldCharType="end"/>
          </w:r>
          <w:r>
            <w:fldChar w:fldCharType="end"/>
          </w:r>
        </w:p>
        <w:p w14:paraId="6E82D444">
          <w:pPr>
            <w:pStyle w:val="7"/>
            <w:tabs>
              <w:tab w:val="right" w:leader="dot" w:pos="8306"/>
            </w:tabs>
          </w:pPr>
          <w:r>
            <w:fldChar w:fldCharType="begin"/>
          </w:r>
          <w:r>
            <w:instrText xml:space="preserve"> HYPERLINK \l _Toc1329 </w:instrText>
          </w:r>
          <w:r>
            <w:fldChar w:fldCharType="separate"/>
          </w:r>
          <w:r>
            <w:rPr>
              <w:rFonts w:hint="eastAsia" w:ascii="华文中宋" w:hAnsi="华文中宋" w:eastAsia="华文中宋" w:cs="华文中宋"/>
              <w:bCs/>
              <w:kern w:val="2"/>
              <w:szCs w:val="28"/>
              <w:lang w:val="en-US" w:eastAsia="zh-CN" w:bidi="ar-SA"/>
            </w:rPr>
            <w:t>1.运行环境要求</w:t>
          </w:r>
          <w:r>
            <w:tab/>
          </w:r>
          <w:r>
            <w:fldChar w:fldCharType="begin"/>
          </w:r>
          <w:r>
            <w:instrText xml:space="preserve"> PAGEREF _Toc1329 \h </w:instrText>
          </w:r>
          <w:r>
            <w:fldChar w:fldCharType="separate"/>
          </w:r>
          <w:r>
            <w:t>2</w:t>
          </w:r>
          <w:r>
            <w:fldChar w:fldCharType="end"/>
          </w:r>
          <w:r>
            <w:fldChar w:fldCharType="end"/>
          </w:r>
        </w:p>
        <w:p w14:paraId="559EF78C">
          <w:pPr>
            <w:pStyle w:val="7"/>
            <w:tabs>
              <w:tab w:val="right" w:leader="dot" w:pos="8306"/>
            </w:tabs>
          </w:pPr>
          <w:r>
            <w:fldChar w:fldCharType="begin"/>
          </w:r>
          <w:r>
            <w:instrText xml:space="preserve"> HYPERLINK \l _Toc27068 </w:instrText>
          </w:r>
          <w:r>
            <w:fldChar w:fldCharType="separate"/>
          </w:r>
          <w:r>
            <w:rPr>
              <w:rFonts w:hint="eastAsia" w:ascii="华文中宋" w:hAnsi="华文中宋" w:eastAsia="华文中宋" w:cs="华文中宋"/>
              <w:bCs/>
              <w:kern w:val="2"/>
              <w:szCs w:val="28"/>
              <w:lang w:val="en-US" w:eastAsia="zh-CN" w:bidi="ar-SA"/>
            </w:rPr>
            <w:t>2.系统登录</w:t>
          </w:r>
          <w:r>
            <w:tab/>
          </w:r>
          <w:r>
            <w:fldChar w:fldCharType="begin"/>
          </w:r>
          <w:r>
            <w:instrText xml:space="preserve"> PAGEREF _Toc27068 \h </w:instrText>
          </w:r>
          <w:r>
            <w:fldChar w:fldCharType="separate"/>
          </w:r>
          <w:r>
            <w:t>2</w:t>
          </w:r>
          <w:r>
            <w:fldChar w:fldCharType="end"/>
          </w:r>
          <w:r>
            <w:fldChar w:fldCharType="end"/>
          </w:r>
        </w:p>
        <w:p w14:paraId="67BA4C2E">
          <w:pPr>
            <w:pStyle w:val="6"/>
            <w:tabs>
              <w:tab w:val="right" w:leader="dot" w:pos="8306"/>
            </w:tabs>
          </w:pPr>
          <w:r>
            <w:fldChar w:fldCharType="begin"/>
          </w:r>
          <w:r>
            <w:instrText xml:space="preserve"> HYPERLINK \l _Toc25732 </w:instrText>
          </w:r>
          <w:r>
            <w:fldChar w:fldCharType="separate"/>
          </w:r>
          <w:r>
            <w:rPr>
              <w:rFonts w:hint="eastAsia" w:ascii="华文中宋" w:hAnsi="华文中宋" w:eastAsia="华文中宋" w:cs="华文中宋"/>
              <w:bCs/>
              <w:szCs w:val="32"/>
              <w:lang w:val="en-US" w:eastAsia="zh-CN"/>
            </w:rPr>
            <w:t>第三章：系统首页介绍</w:t>
          </w:r>
          <w:r>
            <w:tab/>
          </w:r>
          <w:r>
            <w:fldChar w:fldCharType="begin"/>
          </w:r>
          <w:r>
            <w:instrText xml:space="preserve"> PAGEREF _Toc25732 \h </w:instrText>
          </w:r>
          <w:r>
            <w:fldChar w:fldCharType="separate"/>
          </w:r>
          <w:r>
            <w:t>4</w:t>
          </w:r>
          <w:r>
            <w:fldChar w:fldCharType="end"/>
          </w:r>
          <w:r>
            <w:fldChar w:fldCharType="end"/>
          </w:r>
        </w:p>
        <w:p w14:paraId="7A4D791D">
          <w:pPr>
            <w:pStyle w:val="7"/>
            <w:tabs>
              <w:tab w:val="right" w:leader="dot" w:pos="8306"/>
            </w:tabs>
          </w:pPr>
          <w:r>
            <w:fldChar w:fldCharType="begin"/>
          </w:r>
          <w:r>
            <w:instrText xml:space="preserve"> HYPERLINK \l _Toc10916 </w:instrText>
          </w:r>
          <w:r>
            <w:fldChar w:fldCharType="separate"/>
          </w:r>
          <w:r>
            <w:rPr>
              <w:rFonts w:hint="eastAsia" w:ascii="华文中宋" w:hAnsi="华文中宋" w:eastAsia="华文中宋" w:cs="华文中宋"/>
              <w:bCs/>
              <w:kern w:val="2"/>
              <w:szCs w:val="28"/>
              <w:lang w:val="en-US" w:eastAsia="zh-CN" w:bidi="ar-SA"/>
            </w:rPr>
            <w:t>1.我要发起工作</w:t>
          </w:r>
          <w:r>
            <w:tab/>
          </w:r>
          <w:r>
            <w:fldChar w:fldCharType="begin"/>
          </w:r>
          <w:r>
            <w:instrText xml:space="preserve"> PAGEREF _Toc10916 \h </w:instrText>
          </w:r>
          <w:r>
            <w:fldChar w:fldCharType="separate"/>
          </w:r>
          <w:r>
            <w:t>4</w:t>
          </w:r>
          <w:r>
            <w:fldChar w:fldCharType="end"/>
          </w:r>
          <w:r>
            <w:fldChar w:fldCharType="end"/>
          </w:r>
        </w:p>
        <w:p w14:paraId="22B8E07B">
          <w:pPr>
            <w:pStyle w:val="7"/>
            <w:tabs>
              <w:tab w:val="right" w:leader="dot" w:pos="8306"/>
            </w:tabs>
          </w:pPr>
          <w:r>
            <w:fldChar w:fldCharType="begin"/>
          </w:r>
          <w:r>
            <w:instrText xml:space="preserve"> HYPERLINK \l _Toc26062 </w:instrText>
          </w:r>
          <w:r>
            <w:fldChar w:fldCharType="separate"/>
          </w:r>
          <w:r>
            <w:rPr>
              <w:rFonts w:hint="eastAsia" w:ascii="华文中宋" w:hAnsi="华文中宋" w:eastAsia="华文中宋" w:cs="华文中宋"/>
              <w:bCs/>
              <w:kern w:val="2"/>
              <w:szCs w:val="28"/>
              <w:lang w:val="en-US" w:eastAsia="zh-CN" w:bidi="ar-SA"/>
            </w:rPr>
            <w:t>2.我的待办事宜</w:t>
          </w:r>
          <w:r>
            <w:tab/>
          </w:r>
          <w:r>
            <w:fldChar w:fldCharType="begin"/>
          </w:r>
          <w:r>
            <w:instrText xml:space="preserve"> PAGEREF _Toc26062 \h </w:instrText>
          </w:r>
          <w:r>
            <w:fldChar w:fldCharType="separate"/>
          </w:r>
          <w:r>
            <w:t>4</w:t>
          </w:r>
          <w:r>
            <w:fldChar w:fldCharType="end"/>
          </w:r>
          <w:r>
            <w:fldChar w:fldCharType="end"/>
          </w:r>
        </w:p>
        <w:p w14:paraId="3A2448A0">
          <w:pPr>
            <w:pStyle w:val="7"/>
            <w:tabs>
              <w:tab w:val="right" w:leader="dot" w:pos="8306"/>
            </w:tabs>
          </w:pPr>
          <w:r>
            <w:fldChar w:fldCharType="begin"/>
          </w:r>
          <w:r>
            <w:instrText xml:space="preserve"> HYPERLINK \l _Toc14563 </w:instrText>
          </w:r>
          <w:r>
            <w:fldChar w:fldCharType="separate"/>
          </w:r>
          <w:r>
            <w:rPr>
              <w:rFonts w:hint="eastAsia" w:ascii="华文中宋" w:hAnsi="华文中宋" w:eastAsia="华文中宋" w:cs="华文中宋"/>
              <w:bCs/>
              <w:kern w:val="2"/>
              <w:szCs w:val="28"/>
              <w:lang w:val="en-US" w:eastAsia="zh-CN" w:bidi="ar-SA"/>
            </w:rPr>
            <w:t>3.数据中心</w:t>
          </w:r>
          <w:r>
            <w:tab/>
          </w:r>
          <w:r>
            <w:fldChar w:fldCharType="begin"/>
          </w:r>
          <w:r>
            <w:instrText xml:space="preserve"> PAGEREF _Toc14563 \h </w:instrText>
          </w:r>
          <w:r>
            <w:fldChar w:fldCharType="separate"/>
          </w:r>
          <w:r>
            <w:t>4</w:t>
          </w:r>
          <w:r>
            <w:fldChar w:fldCharType="end"/>
          </w:r>
          <w:r>
            <w:fldChar w:fldCharType="end"/>
          </w:r>
        </w:p>
        <w:p w14:paraId="0005CB07">
          <w:pPr>
            <w:pStyle w:val="7"/>
            <w:tabs>
              <w:tab w:val="right" w:leader="dot" w:pos="8306"/>
            </w:tabs>
          </w:pPr>
          <w:r>
            <w:fldChar w:fldCharType="begin"/>
          </w:r>
          <w:r>
            <w:instrText xml:space="preserve"> HYPERLINK \l _Toc27225 </w:instrText>
          </w:r>
          <w:r>
            <w:fldChar w:fldCharType="separate"/>
          </w:r>
          <w:r>
            <w:rPr>
              <w:rFonts w:hint="eastAsia" w:ascii="华文中宋" w:hAnsi="华文中宋" w:eastAsia="华文中宋" w:cs="华文中宋"/>
              <w:bCs/>
              <w:kern w:val="2"/>
              <w:szCs w:val="28"/>
              <w:lang w:val="en-US" w:eastAsia="zh-CN" w:bidi="ar-SA"/>
            </w:rPr>
            <w:t>4.系统通知</w:t>
          </w:r>
          <w:r>
            <w:tab/>
          </w:r>
          <w:r>
            <w:fldChar w:fldCharType="begin"/>
          </w:r>
          <w:r>
            <w:instrText xml:space="preserve"> PAGEREF _Toc27225 \h </w:instrText>
          </w:r>
          <w:r>
            <w:fldChar w:fldCharType="separate"/>
          </w:r>
          <w:r>
            <w:t>5</w:t>
          </w:r>
          <w:r>
            <w:fldChar w:fldCharType="end"/>
          </w:r>
          <w:r>
            <w:fldChar w:fldCharType="end"/>
          </w:r>
        </w:p>
        <w:p w14:paraId="7D856122">
          <w:pPr>
            <w:pStyle w:val="7"/>
            <w:tabs>
              <w:tab w:val="right" w:leader="dot" w:pos="8306"/>
            </w:tabs>
          </w:pPr>
          <w:r>
            <w:fldChar w:fldCharType="begin"/>
          </w:r>
          <w:r>
            <w:instrText xml:space="preserve"> HYPERLINK \l _Toc27783 </w:instrText>
          </w:r>
          <w:r>
            <w:fldChar w:fldCharType="separate"/>
          </w:r>
          <w:r>
            <w:rPr>
              <w:rFonts w:hint="eastAsia" w:ascii="华文中宋" w:hAnsi="华文中宋" w:eastAsia="华文中宋" w:cs="华文中宋"/>
              <w:bCs/>
              <w:kern w:val="2"/>
              <w:szCs w:val="28"/>
              <w:lang w:val="en-US" w:eastAsia="zh-CN" w:bidi="ar-SA"/>
            </w:rPr>
            <w:t>5.平台服务中心</w:t>
          </w:r>
          <w:r>
            <w:tab/>
          </w:r>
          <w:r>
            <w:fldChar w:fldCharType="begin"/>
          </w:r>
          <w:r>
            <w:instrText xml:space="preserve"> PAGEREF _Toc27783 \h </w:instrText>
          </w:r>
          <w:r>
            <w:fldChar w:fldCharType="separate"/>
          </w:r>
          <w:r>
            <w:t>5</w:t>
          </w:r>
          <w:r>
            <w:fldChar w:fldCharType="end"/>
          </w:r>
          <w:r>
            <w:fldChar w:fldCharType="end"/>
          </w:r>
        </w:p>
        <w:p w14:paraId="304C9B78">
          <w:pPr>
            <w:pStyle w:val="6"/>
            <w:tabs>
              <w:tab w:val="right" w:leader="dot" w:pos="8306"/>
            </w:tabs>
          </w:pPr>
          <w:r>
            <w:fldChar w:fldCharType="begin"/>
          </w:r>
          <w:r>
            <w:instrText xml:space="preserve"> HYPERLINK \l _Toc7746 </w:instrText>
          </w:r>
          <w:r>
            <w:fldChar w:fldCharType="separate"/>
          </w:r>
          <w:r>
            <w:rPr>
              <w:rFonts w:hint="eastAsia" w:ascii="华文中宋" w:hAnsi="华文中宋" w:eastAsia="华文中宋" w:cs="华文中宋"/>
              <w:bCs/>
              <w:szCs w:val="32"/>
              <w:lang w:val="en-US" w:eastAsia="zh-CN"/>
            </w:rPr>
            <w:t>第四章：系统操作指南</w:t>
          </w:r>
          <w:r>
            <w:tab/>
          </w:r>
          <w:r>
            <w:fldChar w:fldCharType="begin"/>
          </w:r>
          <w:r>
            <w:instrText xml:space="preserve"> PAGEREF _Toc7746 \h </w:instrText>
          </w:r>
          <w:r>
            <w:fldChar w:fldCharType="separate"/>
          </w:r>
          <w:r>
            <w:t>6</w:t>
          </w:r>
          <w:r>
            <w:fldChar w:fldCharType="end"/>
          </w:r>
          <w:r>
            <w:fldChar w:fldCharType="end"/>
          </w:r>
        </w:p>
        <w:p w14:paraId="15A014A0">
          <w:pPr>
            <w:pStyle w:val="7"/>
            <w:tabs>
              <w:tab w:val="right" w:leader="dot" w:pos="8306"/>
            </w:tabs>
          </w:pPr>
          <w:r>
            <w:fldChar w:fldCharType="begin"/>
          </w:r>
          <w:r>
            <w:instrText xml:space="preserve"> HYPERLINK \l _Toc11375 </w:instrText>
          </w:r>
          <w:r>
            <w:fldChar w:fldCharType="separate"/>
          </w:r>
          <w:r>
            <w:rPr>
              <w:rFonts w:hint="eastAsia" w:ascii="华文中宋" w:hAnsi="华文中宋" w:eastAsia="华文中宋" w:cs="华文中宋"/>
              <w:bCs/>
              <w:kern w:val="2"/>
              <w:szCs w:val="28"/>
              <w:lang w:val="en-US" w:eastAsia="zh-CN" w:bidi="ar-SA"/>
            </w:rPr>
            <w:t>1.年度预算</w:t>
          </w:r>
          <w:r>
            <w:tab/>
          </w:r>
          <w:r>
            <w:fldChar w:fldCharType="begin"/>
          </w:r>
          <w:r>
            <w:instrText xml:space="preserve"> PAGEREF _Toc11375 \h </w:instrText>
          </w:r>
          <w:r>
            <w:fldChar w:fldCharType="separate"/>
          </w:r>
          <w:r>
            <w:t>6</w:t>
          </w:r>
          <w:r>
            <w:fldChar w:fldCharType="end"/>
          </w:r>
          <w:r>
            <w:fldChar w:fldCharType="end"/>
          </w:r>
        </w:p>
        <w:p w14:paraId="5BED076A">
          <w:pPr>
            <w:pStyle w:val="3"/>
            <w:tabs>
              <w:tab w:val="right" w:leader="dot" w:pos="8306"/>
            </w:tabs>
          </w:pPr>
          <w:r>
            <w:fldChar w:fldCharType="begin"/>
          </w:r>
          <w:r>
            <w:instrText xml:space="preserve"> HYPERLINK \l _Toc29496 </w:instrText>
          </w:r>
          <w:r>
            <w:fldChar w:fldCharType="separate"/>
          </w:r>
          <w:r>
            <w:rPr>
              <w:rFonts w:hint="eastAsia" w:ascii="华文中宋" w:hAnsi="华文中宋" w:eastAsia="华文中宋" w:cs="华文中宋"/>
              <w:kern w:val="2"/>
              <w:szCs w:val="28"/>
              <w:lang w:val="en-US" w:eastAsia="zh-CN" w:bidi="ar-SA"/>
            </w:rPr>
            <w:t>1.1年度预算申报</w:t>
          </w:r>
          <w:r>
            <w:tab/>
          </w:r>
          <w:r>
            <w:fldChar w:fldCharType="begin"/>
          </w:r>
          <w:r>
            <w:instrText xml:space="preserve"> PAGEREF _Toc29496 \h </w:instrText>
          </w:r>
          <w:r>
            <w:fldChar w:fldCharType="separate"/>
          </w:r>
          <w:r>
            <w:t>6</w:t>
          </w:r>
          <w:r>
            <w:fldChar w:fldCharType="end"/>
          </w:r>
          <w:r>
            <w:fldChar w:fldCharType="end"/>
          </w:r>
        </w:p>
        <w:p w14:paraId="5846A357">
          <w:pPr>
            <w:pStyle w:val="3"/>
            <w:tabs>
              <w:tab w:val="right" w:leader="dot" w:pos="8306"/>
            </w:tabs>
          </w:pPr>
          <w:r>
            <w:fldChar w:fldCharType="begin"/>
          </w:r>
          <w:r>
            <w:instrText xml:space="preserve"> HYPERLINK \l _Toc30878 </w:instrText>
          </w:r>
          <w:r>
            <w:fldChar w:fldCharType="separate"/>
          </w:r>
          <w:r>
            <w:rPr>
              <w:rFonts w:hint="eastAsia" w:ascii="华文中宋" w:hAnsi="华文中宋" w:eastAsia="华文中宋" w:cs="华文中宋"/>
              <w:bCs w:val="0"/>
              <w:kern w:val="2"/>
              <w:szCs w:val="28"/>
              <w:lang w:val="en-US" w:eastAsia="zh-CN" w:bidi="ar-SA"/>
            </w:rPr>
            <w:t>1.2年度预算送审</w:t>
          </w:r>
          <w:r>
            <w:tab/>
          </w:r>
          <w:r>
            <w:fldChar w:fldCharType="begin"/>
          </w:r>
          <w:r>
            <w:instrText xml:space="preserve"> PAGEREF _Toc30878 \h </w:instrText>
          </w:r>
          <w:r>
            <w:fldChar w:fldCharType="separate"/>
          </w:r>
          <w:r>
            <w:t>7</w:t>
          </w:r>
          <w:r>
            <w:fldChar w:fldCharType="end"/>
          </w:r>
          <w:r>
            <w:fldChar w:fldCharType="end"/>
          </w:r>
        </w:p>
        <w:p w14:paraId="4C88C656">
          <w:pPr>
            <w:pStyle w:val="3"/>
            <w:tabs>
              <w:tab w:val="right" w:leader="dot" w:pos="8306"/>
            </w:tabs>
          </w:pPr>
          <w:r>
            <w:fldChar w:fldCharType="begin"/>
          </w:r>
          <w:r>
            <w:instrText xml:space="preserve"> HYPERLINK \l _Toc4634 </w:instrText>
          </w:r>
          <w:r>
            <w:fldChar w:fldCharType="separate"/>
          </w:r>
          <w:r>
            <w:rPr>
              <w:rFonts w:hint="eastAsia" w:ascii="华文中宋" w:hAnsi="华文中宋" w:eastAsia="华文中宋" w:cs="华文中宋"/>
              <w:kern w:val="2"/>
              <w:szCs w:val="28"/>
              <w:lang w:val="en-US" w:eastAsia="zh-CN" w:bidi="ar-SA"/>
            </w:rPr>
            <w:t>1.3年度预算审批</w:t>
          </w:r>
          <w:r>
            <w:tab/>
          </w:r>
          <w:r>
            <w:fldChar w:fldCharType="begin"/>
          </w:r>
          <w:r>
            <w:instrText xml:space="preserve"> PAGEREF _Toc4634 \h </w:instrText>
          </w:r>
          <w:r>
            <w:fldChar w:fldCharType="separate"/>
          </w:r>
          <w:r>
            <w:t>9</w:t>
          </w:r>
          <w:r>
            <w:fldChar w:fldCharType="end"/>
          </w:r>
          <w:r>
            <w:fldChar w:fldCharType="end"/>
          </w:r>
        </w:p>
        <w:p w14:paraId="5556B751">
          <w:pPr>
            <w:pStyle w:val="7"/>
            <w:tabs>
              <w:tab w:val="right" w:leader="dot" w:pos="8306"/>
            </w:tabs>
          </w:pPr>
          <w:r>
            <w:fldChar w:fldCharType="begin"/>
          </w:r>
          <w:r>
            <w:instrText xml:space="preserve"> HYPERLINK \l _Toc25550 </w:instrText>
          </w:r>
          <w:r>
            <w:fldChar w:fldCharType="separate"/>
          </w:r>
          <w:r>
            <w:rPr>
              <w:rFonts w:hint="eastAsia" w:ascii="华文中宋" w:hAnsi="华文中宋" w:eastAsia="华文中宋" w:cs="华文中宋"/>
              <w:bCs/>
              <w:kern w:val="2"/>
              <w:szCs w:val="28"/>
              <w:lang w:val="en-US" w:eastAsia="zh-CN" w:bidi="ar-SA"/>
            </w:rPr>
            <w:t>2.政府采购意向</w:t>
          </w:r>
          <w:r>
            <w:tab/>
          </w:r>
          <w:r>
            <w:fldChar w:fldCharType="begin"/>
          </w:r>
          <w:r>
            <w:instrText xml:space="preserve"> PAGEREF _Toc25550 \h </w:instrText>
          </w:r>
          <w:r>
            <w:fldChar w:fldCharType="separate"/>
          </w:r>
          <w:r>
            <w:t>10</w:t>
          </w:r>
          <w:r>
            <w:fldChar w:fldCharType="end"/>
          </w:r>
          <w:r>
            <w:fldChar w:fldCharType="end"/>
          </w:r>
        </w:p>
        <w:p w14:paraId="7C86F3E5">
          <w:pPr>
            <w:pStyle w:val="3"/>
            <w:tabs>
              <w:tab w:val="right" w:leader="dot" w:pos="8306"/>
            </w:tabs>
          </w:pPr>
          <w:r>
            <w:fldChar w:fldCharType="begin"/>
          </w:r>
          <w:r>
            <w:instrText xml:space="preserve"> HYPERLINK \l _Toc680 </w:instrText>
          </w:r>
          <w:r>
            <w:fldChar w:fldCharType="separate"/>
          </w:r>
          <w:r>
            <w:rPr>
              <w:rFonts w:hint="eastAsia" w:ascii="华文中宋" w:hAnsi="华文中宋" w:eastAsia="华文中宋" w:cs="华文中宋"/>
              <w:kern w:val="2"/>
              <w:szCs w:val="28"/>
              <w:lang w:val="en-US" w:eastAsia="zh-CN" w:bidi="ar-SA"/>
            </w:rPr>
            <w:t>2.1 采购意向录入</w:t>
          </w:r>
          <w:r>
            <w:tab/>
          </w:r>
          <w:r>
            <w:fldChar w:fldCharType="begin"/>
          </w:r>
          <w:r>
            <w:instrText xml:space="preserve"> PAGEREF _Toc680 \h </w:instrText>
          </w:r>
          <w:r>
            <w:fldChar w:fldCharType="separate"/>
          </w:r>
          <w:r>
            <w:t>10</w:t>
          </w:r>
          <w:r>
            <w:fldChar w:fldCharType="end"/>
          </w:r>
          <w:r>
            <w:fldChar w:fldCharType="end"/>
          </w:r>
        </w:p>
        <w:p w14:paraId="3E9259BE">
          <w:pPr>
            <w:pStyle w:val="3"/>
            <w:tabs>
              <w:tab w:val="right" w:leader="dot" w:pos="8306"/>
            </w:tabs>
          </w:pPr>
          <w:r>
            <w:fldChar w:fldCharType="begin"/>
          </w:r>
          <w:r>
            <w:instrText xml:space="preserve"> HYPERLINK \l _Toc24297 </w:instrText>
          </w:r>
          <w:r>
            <w:fldChar w:fldCharType="separate"/>
          </w:r>
          <w:r>
            <w:rPr>
              <w:rFonts w:hint="eastAsia" w:ascii="华文中宋" w:hAnsi="华文中宋" w:eastAsia="华文中宋" w:cs="华文中宋"/>
              <w:kern w:val="2"/>
              <w:szCs w:val="28"/>
              <w:lang w:val="en-US" w:eastAsia="zh-CN" w:bidi="ar-SA"/>
            </w:rPr>
            <w:t>2.2 查看已录入的采购意向</w:t>
          </w:r>
          <w:r>
            <w:tab/>
          </w:r>
          <w:r>
            <w:fldChar w:fldCharType="begin"/>
          </w:r>
          <w:r>
            <w:instrText xml:space="preserve"> PAGEREF _Toc24297 \h </w:instrText>
          </w:r>
          <w:r>
            <w:fldChar w:fldCharType="separate"/>
          </w:r>
          <w:r>
            <w:t>12</w:t>
          </w:r>
          <w:r>
            <w:fldChar w:fldCharType="end"/>
          </w:r>
          <w:r>
            <w:fldChar w:fldCharType="end"/>
          </w:r>
        </w:p>
        <w:p w14:paraId="2C51393A">
          <w:pPr>
            <w:pStyle w:val="3"/>
            <w:tabs>
              <w:tab w:val="right" w:leader="dot" w:pos="8306"/>
            </w:tabs>
          </w:pPr>
          <w:r>
            <w:fldChar w:fldCharType="begin"/>
          </w:r>
          <w:r>
            <w:instrText xml:space="preserve"> HYPERLINK \l _Toc422 </w:instrText>
          </w:r>
          <w:r>
            <w:fldChar w:fldCharType="separate"/>
          </w:r>
          <w:r>
            <w:rPr>
              <w:rFonts w:hint="eastAsia" w:ascii="华文中宋" w:hAnsi="华文中宋" w:eastAsia="华文中宋" w:cs="华文中宋"/>
              <w:kern w:val="2"/>
              <w:szCs w:val="28"/>
              <w:lang w:val="en-US" w:eastAsia="zh-CN" w:bidi="ar-SA"/>
            </w:rPr>
            <w:t>2.3 采购意向审批</w:t>
          </w:r>
          <w:r>
            <w:tab/>
          </w:r>
          <w:r>
            <w:fldChar w:fldCharType="begin"/>
          </w:r>
          <w:r>
            <w:instrText xml:space="preserve"> PAGEREF _Toc422 \h </w:instrText>
          </w:r>
          <w:r>
            <w:fldChar w:fldCharType="separate"/>
          </w:r>
          <w:r>
            <w:t>12</w:t>
          </w:r>
          <w:r>
            <w:fldChar w:fldCharType="end"/>
          </w:r>
          <w:r>
            <w:fldChar w:fldCharType="end"/>
          </w:r>
        </w:p>
        <w:p w14:paraId="07678151">
          <w:pPr>
            <w:pStyle w:val="3"/>
            <w:tabs>
              <w:tab w:val="right" w:leader="dot" w:pos="8306"/>
            </w:tabs>
          </w:pPr>
          <w:r>
            <w:fldChar w:fldCharType="begin"/>
          </w:r>
          <w:r>
            <w:instrText xml:space="preserve"> HYPERLINK \l _Toc3358 </w:instrText>
          </w:r>
          <w:r>
            <w:fldChar w:fldCharType="separate"/>
          </w:r>
          <w:r>
            <w:rPr>
              <w:rFonts w:hint="eastAsia" w:ascii="华文中宋" w:hAnsi="华文中宋" w:eastAsia="华文中宋" w:cs="华文中宋"/>
              <w:kern w:val="2"/>
              <w:szCs w:val="28"/>
              <w:lang w:val="en-US" w:eastAsia="zh-CN" w:bidi="ar-SA"/>
            </w:rPr>
            <w:t>2.4 采购意向公开退回修改</w:t>
          </w:r>
          <w:r>
            <w:tab/>
          </w:r>
          <w:r>
            <w:fldChar w:fldCharType="begin"/>
          </w:r>
          <w:r>
            <w:instrText xml:space="preserve"> PAGEREF _Toc3358 \h </w:instrText>
          </w:r>
          <w:r>
            <w:fldChar w:fldCharType="separate"/>
          </w:r>
          <w:r>
            <w:t>14</w:t>
          </w:r>
          <w:r>
            <w:fldChar w:fldCharType="end"/>
          </w:r>
          <w:r>
            <w:fldChar w:fldCharType="end"/>
          </w:r>
        </w:p>
        <w:p w14:paraId="0A75DE73">
          <w:pPr>
            <w:pStyle w:val="7"/>
            <w:tabs>
              <w:tab w:val="right" w:leader="dot" w:pos="8306"/>
            </w:tabs>
          </w:pPr>
          <w:r>
            <w:fldChar w:fldCharType="begin"/>
          </w:r>
          <w:r>
            <w:instrText xml:space="preserve"> HYPERLINK \l _Toc285 </w:instrText>
          </w:r>
          <w:r>
            <w:fldChar w:fldCharType="separate"/>
          </w:r>
          <w:r>
            <w:rPr>
              <w:rFonts w:hint="eastAsia" w:ascii="华文中宋" w:hAnsi="华文中宋" w:eastAsia="华文中宋" w:cs="华文中宋"/>
              <w:bCs/>
              <w:kern w:val="2"/>
              <w:szCs w:val="28"/>
              <w:lang w:val="en-US" w:eastAsia="zh-CN" w:bidi="ar-SA"/>
            </w:rPr>
            <w:t>3.采购申请</w:t>
          </w:r>
          <w:r>
            <w:tab/>
          </w:r>
          <w:r>
            <w:fldChar w:fldCharType="begin"/>
          </w:r>
          <w:r>
            <w:instrText xml:space="preserve"> PAGEREF _Toc285 \h </w:instrText>
          </w:r>
          <w:r>
            <w:fldChar w:fldCharType="separate"/>
          </w:r>
          <w:r>
            <w:t>15</w:t>
          </w:r>
          <w:r>
            <w:fldChar w:fldCharType="end"/>
          </w:r>
          <w:r>
            <w:fldChar w:fldCharType="end"/>
          </w:r>
        </w:p>
        <w:p w14:paraId="42834DE9">
          <w:pPr>
            <w:pStyle w:val="3"/>
            <w:tabs>
              <w:tab w:val="right" w:leader="dot" w:pos="8306"/>
            </w:tabs>
          </w:pPr>
          <w:r>
            <w:fldChar w:fldCharType="begin"/>
          </w:r>
          <w:r>
            <w:instrText xml:space="preserve"> HYPERLINK \l _Toc19868 </w:instrText>
          </w:r>
          <w:r>
            <w:fldChar w:fldCharType="separate"/>
          </w:r>
          <w:r>
            <w:rPr>
              <w:rFonts w:hint="eastAsia" w:ascii="华文中宋" w:hAnsi="华文中宋" w:eastAsia="华文中宋" w:cs="华文中宋"/>
              <w:kern w:val="2"/>
              <w:szCs w:val="28"/>
              <w:lang w:val="en-US" w:eastAsia="zh-CN" w:bidi="ar-SA"/>
            </w:rPr>
            <w:t>3.1 采购项目申请</w:t>
          </w:r>
          <w:r>
            <w:tab/>
          </w:r>
          <w:r>
            <w:fldChar w:fldCharType="begin"/>
          </w:r>
          <w:r>
            <w:instrText xml:space="preserve"> PAGEREF _Toc19868 \h </w:instrText>
          </w:r>
          <w:r>
            <w:fldChar w:fldCharType="separate"/>
          </w:r>
          <w:r>
            <w:t>15</w:t>
          </w:r>
          <w:r>
            <w:fldChar w:fldCharType="end"/>
          </w:r>
          <w:r>
            <w:fldChar w:fldCharType="end"/>
          </w:r>
        </w:p>
        <w:p w14:paraId="3E813FBC">
          <w:pPr>
            <w:pStyle w:val="3"/>
            <w:tabs>
              <w:tab w:val="right" w:leader="dot" w:pos="8306"/>
            </w:tabs>
          </w:pPr>
          <w:r>
            <w:fldChar w:fldCharType="begin"/>
          </w:r>
          <w:r>
            <w:instrText xml:space="preserve"> HYPERLINK \l _Toc27551 </w:instrText>
          </w:r>
          <w:r>
            <w:fldChar w:fldCharType="separate"/>
          </w:r>
          <w:r>
            <w:rPr>
              <w:rFonts w:hint="eastAsia" w:ascii="华文中宋" w:hAnsi="华文中宋" w:eastAsia="华文中宋" w:cs="华文中宋"/>
              <w:kern w:val="2"/>
              <w:szCs w:val="28"/>
              <w:lang w:val="en-US" w:eastAsia="zh-CN" w:bidi="ar-SA"/>
            </w:rPr>
            <w:t>3.2 采购项目确认</w:t>
          </w:r>
          <w:r>
            <w:tab/>
          </w:r>
          <w:r>
            <w:fldChar w:fldCharType="begin"/>
          </w:r>
          <w:r>
            <w:instrText xml:space="preserve"> PAGEREF _Toc27551 \h </w:instrText>
          </w:r>
          <w:r>
            <w:fldChar w:fldCharType="separate"/>
          </w:r>
          <w:r>
            <w:t>18</w:t>
          </w:r>
          <w:r>
            <w:fldChar w:fldCharType="end"/>
          </w:r>
          <w:r>
            <w:fldChar w:fldCharType="end"/>
          </w:r>
        </w:p>
        <w:p w14:paraId="318195F3">
          <w:pPr>
            <w:pStyle w:val="7"/>
            <w:tabs>
              <w:tab w:val="right" w:leader="dot" w:pos="8306"/>
            </w:tabs>
          </w:pPr>
          <w:r>
            <w:fldChar w:fldCharType="begin"/>
          </w:r>
          <w:r>
            <w:instrText xml:space="preserve"> HYPERLINK \l _Toc20546 </w:instrText>
          </w:r>
          <w:r>
            <w:fldChar w:fldCharType="separate"/>
          </w:r>
          <w:r>
            <w:rPr>
              <w:rFonts w:hint="eastAsia" w:ascii="华文中宋" w:hAnsi="华文中宋" w:eastAsia="华文中宋" w:cs="华文中宋"/>
              <w:bCs/>
              <w:kern w:val="2"/>
              <w:szCs w:val="28"/>
              <w:lang w:val="en-US" w:eastAsia="zh-CN" w:bidi="ar-SA"/>
            </w:rPr>
            <w:t>4.线下采购-委托</w:t>
          </w:r>
          <w:r>
            <w:tab/>
          </w:r>
          <w:r>
            <w:fldChar w:fldCharType="begin"/>
          </w:r>
          <w:r>
            <w:instrText xml:space="preserve"> PAGEREF _Toc20546 \h </w:instrText>
          </w:r>
          <w:r>
            <w:fldChar w:fldCharType="separate"/>
          </w:r>
          <w:r>
            <w:t>19</w:t>
          </w:r>
          <w:r>
            <w:fldChar w:fldCharType="end"/>
          </w:r>
          <w:r>
            <w:fldChar w:fldCharType="end"/>
          </w:r>
        </w:p>
        <w:p w14:paraId="378C09FA">
          <w:pPr>
            <w:pStyle w:val="7"/>
            <w:tabs>
              <w:tab w:val="right" w:leader="dot" w:pos="8306"/>
            </w:tabs>
          </w:pPr>
          <w:r>
            <w:fldChar w:fldCharType="begin"/>
          </w:r>
          <w:r>
            <w:instrText xml:space="preserve"> HYPERLINK \l _Toc19134 </w:instrText>
          </w:r>
          <w:r>
            <w:fldChar w:fldCharType="separate"/>
          </w:r>
          <w:r>
            <w:rPr>
              <w:rFonts w:hint="eastAsia" w:ascii="华文中宋" w:hAnsi="华文中宋" w:eastAsia="华文中宋" w:cs="华文中宋"/>
              <w:bCs/>
              <w:kern w:val="2"/>
              <w:szCs w:val="28"/>
              <w:lang w:val="en-US" w:eastAsia="zh-CN" w:bidi="ar-SA"/>
            </w:rPr>
            <w:t>5.成交结果备案</w:t>
          </w:r>
          <w:r>
            <w:tab/>
          </w:r>
          <w:r>
            <w:fldChar w:fldCharType="begin"/>
          </w:r>
          <w:r>
            <w:instrText xml:space="preserve"> PAGEREF _Toc19134 \h </w:instrText>
          </w:r>
          <w:r>
            <w:fldChar w:fldCharType="separate"/>
          </w:r>
          <w:r>
            <w:t>19</w:t>
          </w:r>
          <w:r>
            <w:fldChar w:fldCharType="end"/>
          </w:r>
          <w:r>
            <w:fldChar w:fldCharType="end"/>
          </w:r>
        </w:p>
        <w:p w14:paraId="78FFF990">
          <w:pPr>
            <w:pStyle w:val="7"/>
            <w:tabs>
              <w:tab w:val="right" w:leader="dot" w:pos="8306"/>
            </w:tabs>
          </w:pPr>
          <w:r>
            <w:fldChar w:fldCharType="begin"/>
          </w:r>
          <w:r>
            <w:instrText xml:space="preserve"> HYPERLINK \l _Toc29901 </w:instrText>
          </w:r>
          <w:r>
            <w:fldChar w:fldCharType="separate"/>
          </w:r>
          <w:r>
            <w:rPr>
              <w:rFonts w:hint="eastAsia" w:ascii="华文中宋" w:hAnsi="华文中宋" w:eastAsia="华文中宋" w:cs="华文中宋"/>
              <w:bCs/>
              <w:kern w:val="2"/>
              <w:szCs w:val="28"/>
              <w:lang w:val="en-US" w:eastAsia="zh-CN" w:bidi="ar-SA"/>
            </w:rPr>
            <w:t>6.合同归档</w:t>
          </w:r>
          <w:r>
            <w:tab/>
          </w:r>
          <w:r>
            <w:fldChar w:fldCharType="begin"/>
          </w:r>
          <w:r>
            <w:instrText xml:space="preserve"> PAGEREF _Toc29901 \h </w:instrText>
          </w:r>
          <w:r>
            <w:fldChar w:fldCharType="separate"/>
          </w:r>
          <w:r>
            <w:t>20</w:t>
          </w:r>
          <w:r>
            <w:fldChar w:fldCharType="end"/>
          </w:r>
          <w:r>
            <w:fldChar w:fldCharType="end"/>
          </w:r>
        </w:p>
        <w:p w14:paraId="78C835A7">
          <w:r>
            <w:fldChar w:fldCharType="end"/>
          </w:r>
        </w:p>
      </w:sdtContent>
    </w:sdt>
    <w:p w14:paraId="1EF80DCB">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val="0"/>
          <w:bCs w:val="0"/>
          <w:sz w:val="32"/>
          <w:szCs w:val="32"/>
          <w:lang w:val="en-US" w:eastAsia="zh-CN"/>
        </w:rPr>
        <w:sectPr>
          <w:headerReference r:id="rId3" w:type="default"/>
          <w:pgSz w:w="11906" w:h="16838"/>
          <w:pgMar w:top="1440" w:right="1800" w:bottom="1440" w:left="1800" w:header="851" w:footer="992" w:gutter="0"/>
          <w:pgNumType w:fmt="decimal" w:start="1"/>
          <w:cols w:space="425" w:num="1"/>
          <w:docGrid w:type="lines" w:linePitch="312" w:charSpace="0"/>
        </w:sectPr>
      </w:pPr>
    </w:p>
    <w:p w14:paraId="738DA57A">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华文中宋" w:hAnsi="华文中宋" w:eastAsia="华文中宋" w:cs="华文中宋"/>
          <w:b w:val="0"/>
          <w:bCs w:val="0"/>
          <w:sz w:val="32"/>
          <w:szCs w:val="32"/>
          <w:lang w:val="en-US" w:eastAsia="zh-CN"/>
        </w:rPr>
      </w:pPr>
      <w:bookmarkStart w:id="0" w:name="_Toc11680"/>
      <w:r>
        <w:rPr>
          <w:rFonts w:hint="eastAsia" w:ascii="华文中宋" w:hAnsi="华文中宋" w:eastAsia="华文中宋" w:cs="华文中宋"/>
          <w:b/>
          <w:bCs/>
          <w:sz w:val="32"/>
          <w:szCs w:val="32"/>
          <w:lang w:val="en-US" w:eastAsia="zh-CN"/>
        </w:rPr>
        <w:t>第一章：系统说明</w:t>
      </w:r>
      <w:bookmarkEnd w:id="0"/>
    </w:p>
    <w:p w14:paraId="56AFB4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宋体" w:hAnsi="华文宋体" w:eastAsia="华文宋体" w:cs="华文宋体"/>
          <w:kern w:val="2"/>
          <w:sz w:val="24"/>
          <w:szCs w:val="22"/>
          <w:lang w:val="en-US" w:eastAsia="zh-CN" w:bidi="ar-SA"/>
        </w:rPr>
      </w:pPr>
      <w:r>
        <w:rPr>
          <w:rFonts w:hint="eastAsia" w:ascii="华文宋体" w:hAnsi="华文宋体" w:eastAsia="华文宋体" w:cs="华文宋体"/>
          <w:b w:val="0"/>
          <w:bCs w:val="0"/>
          <w:sz w:val="24"/>
          <w:szCs w:val="24"/>
          <w:lang w:val="en-US" w:eastAsia="zh-CN"/>
        </w:rPr>
        <w:t>根据《湖南省财政厅关于建设预算单位政府采购内部控制制度的通知》（湘财购〔2020〕26号）中的相关要求，以及《学校采购管理办法》和信息建设规划，为提升招标采购管理服务水平，实现采购工作规范化、采购管理精细化、采购服务专业化、采购运行高效化等方面，建设</w:t>
      </w:r>
      <w:r>
        <w:rPr>
          <w:rFonts w:hint="eastAsia" w:ascii="华文宋体" w:hAnsi="华文宋体" w:eastAsia="华文宋体" w:cs="华文宋体"/>
          <w:kern w:val="2"/>
          <w:sz w:val="24"/>
          <w:szCs w:val="22"/>
          <w:lang w:val="en-US" w:eastAsia="zh-CN" w:bidi="ar-SA"/>
        </w:rPr>
        <w:t>“互联网+采购”管理系统；将以采购项目完整流程为核心，辅助采购人员提升办公效率；建立采购项目“谁负责谁管理”制度；建设采购部门所有采购项目及合同文档资料的电子档案库；提供采购统计分析报表和领导决策辅助分析功能。</w:t>
      </w:r>
    </w:p>
    <w:p w14:paraId="2FFD23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宋体" w:hAnsi="华文宋体" w:eastAsia="华文宋体" w:cs="华文宋体"/>
          <w:kern w:val="2"/>
          <w:sz w:val="24"/>
          <w:szCs w:val="22"/>
          <w:lang w:val="en-US" w:eastAsia="zh-CN" w:bidi="ar-SA"/>
        </w:rPr>
      </w:pPr>
      <w:r>
        <w:rPr>
          <w:rFonts w:hint="eastAsia" w:ascii="华文宋体" w:hAnsi="华文宋体" w:eastAsia="华文宋体" w:cs="华文宋体"/>
          <w:kern w:val="2"/>
          <w:sz w:val="24"/>
          <w:szCs w:val="22"/>
          <w:lang w:val="en-US" w:eastAsia="zh-CN" w:bidi="ar-SA"/>
        </w:rPr>
        <w:t>招投标管理系统主要以学校采购项目为主线，建设内容包括如下功能：年度预算申报、采购项目申请、采购项目委托管理、电子卖场项目管理、专家抽取、成交结果管理、公告管理、合同管理、验收管理、项目电子归档、采购统计分析报表等业务流程，同时具备专家信息管理、代理机构信息管理等功能。</w:t>
      </w:r>
    </w:p>
    <w:p w14:paraId="54035E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Times New Roman" w:eastAsia="宋体" w:cs="Times New Roman"/>
          <w:kern w:val="2"/>
          <w:sz w:val="24"/>
          <w:szCs w:val="22"/>
          <w:lang w:val="en-US" w:eastAsia="zh-CN" w:bidi="ar-SA"/>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华文宋体" w:hAnsi="华文宋体" w:eastAsia="华文宋体" w:cs="华文宋体"/>
          <w:kern w:val="2"/>
          <w:sz w:val="24"/>
          <w:szCs w:val="22"/>
          <w:lang w:val="en-US" w:eastAsia="zh-CN" w:bidi="ar-SA"/>
        </w:rPr>
        <w:t>招投标管理系统针对学校项目的采购、合同两个模块的建设，使的整个采购项目全流程可留痕溯源，公开透明，规范了学校采购运行机制，加强了对学校采购管理的监督，提高了采购资金的使用效益和采购效率，明确了采购责任，有效防控了采购风险。</w:t>
      </w:r>
    </w:p>
    <w:p w14:paraId="46BA5CB5">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bCs/>
          <w:sz w:val="32"/>
          <w:szCs w:val="32"/>
          <w:lang w:val="en-US" w:eastAsia="zh-CN"/>
        </w:rPr>
      </w:pPr>
      <w:bookmarkStart w:id="1" w:name="_Toc29108"/>
      <w:r>
        <w:rPr>
          <w:rFonts w:hint="eastAsia" w:ascii="华文中宋" w:hAnsi="华文中宋" w:eastAsia="华文中宋" w:cs="华文中宋"/>
          <w:b/>
          <w:bCs/>
          <w:sz w:val="32"/>
          <w:szCs w:val="32"/>
          <w:lang w:val="en-US" w:eastAsia="zh-CN"/>
        </w:rPr>
        <w:t>第二章：系统登录</w:t>
      </w:r>
      <w:bookmarkEnd w:id="1"/>
    </w:p>
    <w:p w14:paraId="44D3E55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华文中宋" w:hAnsi="华文中宋" w:eastAsia="华文中宋" w:cs="华文中宋"/>
          <w:b/>
          <w:bCs/>
          <w:kern w:val="2"/>
          <w:sz w:val="28"/>
          <w:szCs w:val="28"/>
          <w:vertAlign w:val="baseline"/>
          <w:lang w:val="en-US" w:eastAsia="zh-CN" w:bidi="ar-SA"/>
        </w:rPr>
      </w:pPr>
      <w:bookmarkStart w:id="2" w:name="_Toc1329"/>
      <w:r>
        <w:rPr>
          <w:rFonts w:hint="eastAsia" w:ascii="华文中宋" w:hAnsi="华文中宋" w:eastAsia="华文中宋" w:cs="华文中宋"/>
          <w:b/>
          <w:bCs/>
          <w:kern w:val="2"/>
          <w:sz w:val="28"/>
          <w:szCs w:val="28"/>
          <w:lang w:val="en-US" w:eastAsia="zh-CN" w:bidi="ar-SA"/>
        </w:rPr>
        <w:t>1.运行环境要求</w:t>
      </w:r>
      <w:bookmarkEnd w:id="2"/>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4281"/>
        <w:gridCol w:w="1401"/>
      </w:tblGrid>
      <w:tr w14:paraId="2DA1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Borders>
              <w:top w:val="single" w:color="auto" w:sz="4" w:space="0"/>
              <w:left w:val="single" w:color="auto" w:sz="4" w:space="0"/>
              <w:bottom w:val="single" w:color="auto" w:sz="4" w:space="0"/>
              <w:right w:val="dotted" w:color="auto" w:sz="8" w:space="0"/>
            </w:tcBorders>
            <w:shd w:val="clear" w:color="auto" w:fill="4F81BD"/>
          </w:tcPr>
          <w:p w14:paraId="76194A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中宋" w:hAnsi="华文中宋" w:eastAsia="华文中宋" w:cs="华文中宋"/>
                <w:b/>
                <w:bCs/>
                <w:color w:val="FFFFFF"/>
                <w:kern w:val="2"/>
                <w:sz w:val="24"/>
                <w:szCs w:val="22"/>
                <w:vertAlign w:val="baseline"/>
                <w:lang w:val="en-US" w:eastAsia="zh-CN" w:bidi="ar-SA"/>
              </w:rPr>
            </w:pPr>
            <w:r>
              <w:rPr>
                <w:rFonts w:hint="eastAsia" w:ascii="华文中宋" w:hAnsi="华文中宋" w:eastAsia="华文中宋" w:cs="华文中宋"/>
                <w:b/>
                <w:bCs/>
                <w:color w:val="FFFFFF"/>
                <w:kern w:val="2"/>
                <w:sz w:val="24"/>
                <w:szCs w:val="22"/>
                <w:vertAlign w:val="baseline"/>
                <w:lang w:val="en-US" w:eastAsia="zh-CN" w:bidi="ar-SA"/>
              </w:rPr>
              <w:t>项目</w:t>
            </w:r>
          </w:p>
        </w:tc>
        <w:tc>
          <w:tcPr>
            <w:tcW w:w="4281" w:type="dxa"/>
            <w:tcBorders>
              <w:top w:val="single" w:color="auto" w:sz="4" w:space="0"/>
              <w:left w:val="dotted" w:color="auto" w:sz="8" w:space="0"/>
              <w:bottom w:val="single" w:color="auto" w:sz="4" w:space="0"/>
              <w:right w:val="dotted" w:color="auto" w:sz="8" w:space="0"/>
            </w:tcBorders>
            <w:shd w:val="clear" w:color="auto" w:fill="4F81BD"/>
          </w:tcPr>
          <w:p w14:paraId="7E2E70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中宋" w:hAnsi="华文中宋" w:eastAsia="华文中宋" w:cs="华文中宋"/>
                <w:b/>
                <w:bCs/>
                <w:color w:val="FFFFFF"/>
                <w:kern w:val="2"/>
                <w:sz w:val="24"/>
                <w:szCs w:val="22"/>
                <w:vertAlign w:val="baseline"/>
                <w:lang w:val="en-US" w:eastAsia="zh-CN" w:bidi="ar-SA"/>
              </w:rPr>
            </w:pPr>
            <w:r>
              <w:rPr>
                <w:rFonts w:hint="eastAsia" w:ascii="华文中宋" w:hAnsi="华文中宋" w:eastAsia="华文中宋" w:cs="华文中宋"/>
                <w:b/>
                <w:bCs/>
                <w:color w:val="FFFFFF"/>
                <w:kern w:val="2"/>
                <w:sz w:val="24"/>
                <w:szCs w:val="22"/>
                <w:vertAlign w:val="baseline"/>
                <w:lang w:val="en-US" w:eastAsia="zh-CN" w:bidi="ar-SA"/>
              </w:rPr>
              <w:t>要求</w:t>
            </w:r>
          </w:p>
        </w:tc>
        <w:tc>
          <w:tcPr>
            <w:tcW w:w="1401" w:type="dxa"/>
            <w:tcBorders>
              <w:top w:val="single" w:color="auto" w:sz="4" w:space="0"/>
              <w:left w:val="dotted" w:color="auto" w:sz="8" w:space="0"/>
              <w:bottom w:val="single" w:color="auto" w:sz="4" w:space="0"/>
              <w:right w:val="single" w:color="auto" w:sz="4" w:space="0"/>
            </w:tcBorders>
            <w:shd w:val="clear" w:color="auto" w:fill="4F81BD"/>
          </w:tcPr>
          <w:p w14:paraId="48C2B1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中宋" w:hAnsi="华文中宋" w:eastAsia="华文中宋" w:cs="华文中宋"/>
                <w:b/>
                <w:bCs/>
                <w:color w:val="FFFFFF"/>
                <w:kern w:val="2"/>
                <w:sz w:val="24"/>
                <w:szCs w:val="22"/>
                <w:vertAlign w:val="baseline"/>
                <w:lang w:val="en-US" w:eastAsia="zh-CN" w:bidi="ar-SA"/>
              </w:rPr>
            </w:pPr>
            <w:r>
              <w:rPr>
                <w:rFonts w:hint="eastAsia" w:ascii="华文中宋" w:hAnsi="华文中宋" w:eastAsia="华文中宋" w:cs="华文中宋"/>
                <w:b/>
                <w:bCs/>
                <w:color w:val="FFFFFF"/>
                <w:kern w:val="2"/>
                <w:sz w:val="24"/>
                <w:szCs w:val="22"/>
                <w:vertAlign w:val="baseline"/>
                <w:lang w:val="en-US" w:eastAsia="zh-CN" w:bidi="ar-SA"/>
              </w:rPr>
              <w:t>说明</w:t>
            </w:r>
          </w:p>
        </w:tc>
      </w:tr>
      <w:tr w14:paraId="6965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tcBorders>
          </w:tcPr>
          <w:p w14:paraId="35D3D6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r>
              <w:rPr>
                <w:rFonts w:hint="eastAsia" w:ascii="华文中宋" w:hAnsi="华文中宋" w:eastAsia="华文中宋" w:cs="华文中宋"/>
                <w:kern w:val="2"/>
                <w:sz w:val="21"/>
                <w:szCs w:val="21"/>
                <w:vertAlign w:val="baseline"/>
                <w:lang w:val="en-US" w:eastAsia="zh-CN" w:bidi="ar-SA"/>
              </w:rPr>
              <w:t>操作系统</w:t>
            </w:r>
          </w:p>
        </w:tc>
        <w:tc>
          <w:tcPr>
            <w:tcW w:w="4281" w:type="dxa"/>
            <w:tcBorders>
              <w:top w:val="single" w:color="auto" w:sz="4" w:space="0"/>
            </w:tcBorders>
          </w:tcPr>
          <w:p w14:paraId="15FF20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r>
              <w:rPr>
                <w:rFonts w:hint="eastAsia" w:ascii="华文中宋" w:hAnsi="华文中宋" w:eastAsia="华文中宋" w:cs="华文中宋"/>
                <w:kern w:val="2"/>
                <w:sz w:val="21"/>
                <w:szCs w:val="21"/>
                <w:vertAlign w:val="baseline"/>
                <w:lang w:val="en-US" w:eastAsia="zh-CN" w:bidi="ar-SA"/>
              </w:rPr>
              <w:t xml:space="preserve">Win7，Win10操作系统 </w:t>
            </w:r>
          </w:p>
        </w:tc>
        <w:tc>
          <w:tcPr>
            <w:tcW w:w="1401" w:type="dxa"/>
            <w:tcBorders>
              <w:top w:val="single" w:color="auto" w:sz="4" w:space="0"/>
            </w:tcBorders>
          </w:tcPr>
          <w:p w14:paraId="55E41F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p>
        </w:tc>
      </w:tr>
      <w:tr w14:paraId="5CE2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8BF66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r>
              <w:rPr>
                <w:rFonts w:hint="eastAsia" w:ascii="华文中宋" w:hAnsi="华文中宋" w:eastAsia="华文中宋" w:cs="华文中宋"/>
                <w:kern w:val="2"/>
                <w:sz w:val="21"/>
                <w:szCs w:val="21"/>
                <w:vertAlign w:val="baseline"/>
                <w:lang w:val="en-US" w:eastAsia="zh-CN" w:bidi="ar-SA"/>
              </w:rPr>
              <w:t xml:space="preserve">推荐使用浏览器 </w:t>
            </w:r>
          </w:p>
        </w:tc>
        <w:tc>
          <w:tcPr>
            <w:tcW w:w="4281" w:type="dxa"/>
          </w:tcPr>
          <w:p w14:paraId="13CE8C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r>
              <w:rPr>
                <w:rFonts w:hint="eastAsia" w:ascii="华文中宋" w:hAnsi="华文中宋" w:eastAsia="华文中宋" w:cs="华文中宋"/>
                <w:kern w:val="2"/>
                <w:sz w:val="21"/>
                <w:szCs w:val="21"/>
                <w:vertAlign w:val="baseline"/>
                <w:lang w:val="en-US" w:eastAsia="zh-CN" w:bidi="ar-SA"/>
              </w:rPr>
              <w:t>IE9\IE10及以上的IE版本 360安全浏览器、谷歌浏览器</w:t>
            </w:r>
          </w:p>
        </w:tc>
        <w:tc>
          <w:tcPr>
            <w:tcW w:w="1401" w:type="dxa"/>
          </w:tcPr>
          <w:p w14:paraId="334EFB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p>
        </w:tc>
      </w:tr>
      <w:tr w14:paraId="160C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2840" w:type="dxa"/>
          </w:tcPr>
          <w:p w14:paraId="16F93D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r>
              <w:rPr>
                <w:rFonts w:hint="eastAsia" w:ascii="华文中宋" w:hAnsi="华文中宋" w:eastAsia="华文中宋" w:cs="华文中宋"/>
                <w:kern w:val="2"/>
                <w:sz w:val="21"/>
                <w:szCs w:val="21"/>
                <w:vertAlign w:val="baseline"/>
                <w:lang w:val="en-US" w:eastAsia="zh-CN" w:bidi="ar-SA"/>
              </w:rPr>
              <w:t>其它要求</w:t>
            </w:r>
          </w:p>
        </w:tc>
        <w:tc>
          <w:tcPr>
            <w:tcW w:w="4281" w:type="dxa"/>
          </w:tcPr>
          <w:p w14:paraId="4C9DFE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r>
              <w:rPr>
                <w:rFonts w:hint="eastAsia" w:ascii="华文中宋" w:hAnsi="华文中宋" w:eastAsia="华文中宋" w:cs="华文中宋"/>
                <w:kern w:val="2"/>
                <w:sz w:val="21"/>
                <w:szCs w:val="21"/>
                <w:vertAlign w:val="baseline"/>
                <w:lang w:val="en-US" w:eastAsia="zh-CN" w:bidi="ar-SA"/>
              </w:rPr>
              <w:t xml:space="preserve">网络畅通。安装了阅读和编辑文档所需的Office Word\Excel等办公软件。 </w:t>
            </w:r>
          </w:p>
        </w:tc>
        <w:tc>
          <w:tcPr>
            <w:tcW w:w="1401" w:type="dxa"/>
          </w:tcPr>
          <w:p w14:paraId="150FD8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中宋" w:hAnsi="华文中宋" w:eastAsia="华文中宋" w:cs="华文中宋"/>
                <w:kern w:val="2"/>
                <w:sz w:val="21"/>
                <w:szCs w:val="21"/>
                <w:vertAlign w:val="baseline"/>
                <w:lang w:val="en-US" w:eastAsia="zh-CN" w:bidi="ar-SA"/>
              </w:rPr>
            </w:pPr>
          </w:p>
        </w:tc>
      </w:tr>
    </w:tbl>
    <w:p w14:paraId="05E43E6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华文中宋" w:hAnsi="华文中宋" w:eastAsia="华文中宋" w:cs="华文中宋"/>
          <w:b/>
          <w:bCs/>
          <w:kern w:val="2"/>
          <w:sz w:val="28"/>
          <w:szCs w:val="28"/>
          <w:lang w:val="en-US" w:eastAsia="zh-CN" w:bidi="ar-SA"/>
        </w:rPr>
      </w:pPr>
      <w:bookmarkStart w:id="3" w:name="_Toc27068"/>
      <w:r>
        <w:rPr>
          <w:rFonts w:hint="eastAsia" w:ascii="华文中宋" w:hAnsi="华文中宋" w:eastAsia="华文中宋" w:cs="华文中宋"/>
          <w:b/>
          <w:bCs/>
          <w:kern w:val="2"/>
          <w:sz w:val="28"/>
          <w:szCs w:val="28"/>
          <w:lang w:val="en-US" w:eastAsia="zh-CN" w:bidi="ar-SA"/>
        </w:rPr>
        <w:t>2.系统登录</w:t>
      </w:r>
      <w:bookmarkEnd w:id="3"/>
    </w:p>
    <w:p w14:paraId="15C59B1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华文中宋" w:hAnsi="华文中宋" w:eastAsia="华文中宋" w:cs="华文中宋"/>
          <w:kern w:val="2"/>
          <w:sz w:val="24"/>
          <w:szCs w:val="22"/>
          <w:lang w:val="en-US" w:eastAsia="zh-CN" w:bidi="ar-SA"/>
        </w:rPr>
      </w:pPr>
      <w:bookmarkStart w:id="38" w:name="_GoBack"/>
      <w:r>
        <w:rPr>
          <w:rFonts w:hint="eastAsia" w:ascii="华文中宋" w:hAnsi="华文中宋" w:eastAsia="华文中宋" w:cs="华文中宋"/>
          <w:kern w:val="2"/>
          <w:sz w:val="24"/>
          <w:szCs w:val="22"/>
          <w:lang w:val="en-US" w:eastAsia="zh-CN" w:bidi="ar-SA"/>
        </w:rPr>
        <w:t>吉首大学招投标管理系统提供如下登录方式：</w:t>
      </w:r>
    </w:p>
    <w:p w14:paraId="0984D0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①进入“吉首大学-采购与招投标管理办公室”官网，点击“招投标管理系统（校内用户）入口”进入统一身份认证登录页面。</w:t>
      </w:r>
    </w:p>
    <w:p w14:paraId="05F178C5">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304155" cy="2436495"/>
            <wp:effectExtent l="0" t="0" r="4445"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6"/>
                    <a:srcRect l="3376"/>
                    <a:stretch>
                      <a:fillRect/>
                    </a:stretch>
                  </pic:blipFill>
                  <pic:spPr>
                    <a:xfrm>
                      <a:off x="0" y="0"/>
                      <a:ext cx="5304155" cy="2436495"/>
                    </a:xfrm>
                    <a:prstGeom prst="rect">
                      <a:avLst/>
                    </a:prstGeom>
                    <a:noFill/>
                    <a:ln>
                      <a:noFill/>
                    </a:ln>
                  </pic:spPr>
                </pic:pic>
              </a:graphicData>
            </a:graphic>
          </wp:inline>
        </w:drawing>
      </w:r>
    </w:p>
    <w:p w14:paraId="6DE3B87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②输入账号和密码，点击【立即登录】按钮进入授权页面。</w:t>
      </w:r>
    </w:p>
    <w:p w14:paraId="77B9C041">
      <w:pPr>
        <w:keepNext w:val="0"/>
        <w:keepLines w:val="0"/>
        <w:pageBreakBefore w:val="0"/>
        <w:widowControl w:val="0"/>
        <w:kinsoku/>
        <w:wordWrap/>
        <w:overflowPunct/>
        <w:topLinePunct w:val="0"/>
        <w:autoSpaceDE/>
        <w:autoSpaceDN/>
        <w:bidi w:val="0"/>
        <w:adjustRightInd/>
        <w:snapToGrid/>
        <w:spacing w:line="360" w:lineRule="auto"/>
        <w:jc w:val="both"/>
        <w:textAlignment w:val="auto"/>
      </w:pPr>
      <w:r>
        <w:drawing>
          <wp:inline distT="0" distB="0" distL="114300" distR="114300">
            <wp:extent cx="5266690" cy="2329180"/>
            <wp:effectExtent l="0" t="0" r="3810" b="762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5266690" cy="2329180"/>
                    </a:xfrm>
                    <a:prstGeom prst="rect">
                      <a:avLst/>
                    </a:prstGeom>
                    <a:noFill/>
                    <a:ln>
                      <a:noFill/>
                    </a:ln>
                  </pic:spPr>
                </pic:pic>
              </a:graphicData>
            </a:graphic>
          </wp:inline>
        </w:drawing>
      </w:r>
    </w:p>
    <w:p w14:paraId="2B1D29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③点击【授权】按钮即可跳转至招投标管理系统。</w:t>
      </w:r>
    </w:p>
    <w:p w14:paraId="12E9F7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5230495" cy="2402840"/>
            <wp:effectExtent l="0" t="0" r="1905" b="1016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8"/>
                    <a:srcRect l="3521"/>
                    <a:stretch>
                      <a:fillRect/>
                    </a:stretch>
                  </pic:blipFill>
                  <pic:spPr>
                    <a:xfrm>
                      <a:off x="0" y="0"/>
                      <a:ext cx="5230495" cy="2402840"/>
                    </a:xfrm>
                    <a:prstGeom prst="rect">
                      <a:avLst/>
                    </a:prstGeom>
                    <a:noFill/>
                    <a:ln>
                      <a:noFill/>
                    </a:ln>
                  </pic:spPr>
                </pic:pic>
              </a:graphicData>
            </a:graphic>
          </wp:inline>
        </w:drawing>
      </w:r>
      <w:bookmarkEnd w:id="38"/>
    </w:p>
    <w:p w14:paraId="64FC16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5BD61110">
      <w:pPr>
        <w:rPr>
          <w:rFonts w:hint="eastAsia"/>
          <w:lang w:val="en-US" w:eastAsia="zh-CN"/>
        </w:rPr>
      </w:pPr>
      <w:r>
        <w:rPr>
          <w:rFonts w:hint="eastAsia"/>
          <w:lang w:val="en-US" w:eastAsia="zh-CN"/>
        </w:rPr>
        <w:br w:type="page"/>
      </w:r>
    </w:p>
    <w:p w14:paraId="6756F1E1">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华文中宋" w:hAnsi="华文中宋" w:eastAsia="华文中宋" w:cs="华文中宋"/>
          <w:b/>
          <w:bCs/>
          <w:sz w:val="32"/>
          <w:szCs w:val="32"/>
          <w:lang w:val="en-US" w:eastAsia="zh-CN"/>
        </w:rPr>
      </w:pPr>
      <w:bookmarkStart w:id="4" w:name="_Toc25732"/>
      <w:r>
        <w:rPr>
          <w:rFonts w:hint="eastAsia" w:ascii="华文中宋" w:hAnsi="华文中宋" w:eastAsia="华文中宋" w:cs="华文中宋"/>
          <w:b/>
          <w:bCs/>
          <w:sz w:val="32"/>
          <w:szCs w:val="32"/>
          <w:lang w:val="en-US" w:eastAsia="zh-CN"/>
        </w:rPr>
        <w:t>第三章：系统首页介绍</w:t>
      </w:r>
      <w:bookmarkEnd w:id="4"/>
    </w:p>
    <w:p w14:paraId="50771E23">
      <w:pPr>
        <w:keepNext w:val="0"/>
        <w:keepLines w:val="0"/>
        <w:pageBreakBefore w:val="0"/>
        <w:widowControl w:val="0"/>
        <w:kinsoku/>
        <w:wordWrap/>
        <w:overflowPunct/>
        <w:topLinePunct w:val="0"/>
        <w:autoSpaceDE/>
        <w:autoSpaceDN/>
        <w:bidi w:val="0"/>
        <w:adjustRightInd/>
        <w:snapToGrid/>
        <w:spacing w:line="400" w:lineRule="exact"/>
        <w:ind w:firstLine="280" w:firstLineChars="100"/>
        <w:textAlignment w:val="auto"/>
        <w:outlineLvl w:val="1"/>
        <w:rPr>
          <w:rFonts w:hint="eastAsia" w:ascii="华文中宋" w:hAnsi="华文中宋" w:eastAsia="华文中宋" w:cs="华文中宋"/>
          <w:b/>
          <w:bCs/>
          <w:kern w:val="2"/>
          <w:sz w:val="28"/>
          <w:szCs w:val="28"/>
          <w:lang w:val="en-US" w:eastAsia="zh-CN" w:bidi="ar-SA"/>
        </w:rPr>
      </w:pPr>
      <w:bookmarkStart w:id="5" w:name="_Toc29632"/>
      <w:bookmarkStart w:id="6" w:name="_Toc5044"/>
      <w:bookmarkStart w:id="7" w:name="_Toc30170"/>
      <w:bookmarkStart w:id="8" w:name="_Toc10916"/>
      <w:r>
        <w:rPr>
          <w:rFonts w:hint="eastAsia" w:ascii="华文中宋" w:hAnsi="华文中宋" w:eastAsia="华文中宋" w:cs="华文中宋"/>
          <w:b/>
          <w:bCs/>
          <w:kern w:val="2"/>
          <w:sz w:val="28"/>
          <w:szCs w:val="28"/>
          <w:lang w:val="en-US" w:eastAsia="zh-CN" w:bidi="ar-SA"/>
        </w:rPr>
        <w:t>1.我要发起工作</w:t>
      </w:r>
      <w:bookmarkEnd w:id="5"/>
      <w:bookmarkEnd w:id="6"/>
      <w:bookmarkEnd w:id="7"/>
      <w:bookmarkEnd w:id="8"/>
    </w:p>
    <w:p w14:paraId="3B94530A">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用户发起工作，只需要点击【我要发起工作】快捷入口，点击相应的图标进行操作。</w:t>
      </w:r>
    </w:p>
    <w:p w14:paraId="4B3F5CF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华文宋体" w:hAnsi="华文宋体" w:eastAsia="华文宋体" w:cs="华文宋体"/>
          <w:kern w:val="2"/>
          <w:sz w:val="21"/>
          <w:szCs w:val="21"/>
          <w:lang w:val="en-US" w:eastAsia="zh-CN" w:bidi="ar-SA"/>
        </w:rPr>
      </w:pPr>
      <w:r>
        <w:drawing>
          <wp:inline distT="0" distB="0" distL="114300" distR="114300">
            <wp:extent cx="5266690" cy="2400300"/>
            <wp:effectExtent l="0" t="0" r="381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5266690" cy="2400300"/>
                    </a:xfrm>
                    <a:prstGeom prst="rect">
                      <a:avLst/>
                    </a:prstGeom>
                    <a:noFill/>
                    <a:ln>
                      <a:noFill/>
                    </a:ln>
                  </pic:spPr>
                </pic:pic>
              </a:graphicData>
            </a:graphic>
          </wp:inline>
        </w:drawing>
      </w:r>
    </w:p>
    <w:p w14:paraId="6E161E36">
      <w:pPr>
        <w:keepNext w:val="0"/>
        <w:keepLines w:val="0"/>
        <w:pageBreakBefore w:val="0"/>
        <w:widowControl w:val="0"/>
        <w:kinsoku/>
        <w:wordWrap/>
        <w:overflowPunct/>
        <w:topLinePunct w:val="0"/>
        <w:autoSpaceDE/>
        <w:autoSpaceDN/>
        <w:bidi w:val="0"/>
        <w:adjustRightInd/>
        <w:snapToGrid/>
        <w:spacing w:line="400" w:lineRule="exact"/>
        <w:ind w:firstLine="280" w:firstLineChars="100"/>
        <w:textAlignment w:val="auto"/>
        <w:outlineLvl w:val="1"/>
        <w:rPr>
          <w:rFonts w:hint="eastAsia" w:ascii="华文中宋" w:hAnsi="华文中宋" w:eastAsia="华文中宋" w:cs="华文中宋"/>
          <w:b/>
          <w:bCs/>
          <w:kern w:val="2"/>
          <w:sz w:val="28"/>
          <w:szCs w:val="28"/>
          <w:lang w:val="en-US" w:eastAsia="zh-CN" w:bidi="ar-SA"/>
        </w:rPr>
      </w:pPr>
      <w:bookmarkStart w:id="9" w:name="_Toc21194"/>
      <w:bookmarkStart w:id="10" w:name="_Toc11148"/>
      <w:bookmarkStart w:id="11" w:name="_Toc31610"/>
      <w:bookmarkStart w:id="12" w:name="_Toc26062"/>
      <w:r>
        <w:rPr>
          <w:rFonts w:hint="eastAsia" w:ascii="华文中宋" w:hAnsi="华文中宋" w:eastAsia="华文中宋" w:cs="华文中宋"/>
          <w:b/>
          <w:bCs/>
          <w:kern w:val="2"/>
          <w:sz w:val="28"/>
          <w:szCs w:val="28"/>
          <w:lang w:val="en-US" w:eastAsia="zh-CN" w:bidi="ar-SA"/>
        </w:rPr>
        <w:t>2</w:t>
      </w:r>
      <w:bookmarkEnd w:id="9"/>
      <w:bookmarkEnd w:id="10"/>
      <w:r>
        <w:rPr>
          <w:rFonts w:hint="eastAsia" w:ascii="华文中宋" w:hAnsi="华文中宋" w:eastAsia="华文中宋" w:cs="华文中宋"/>
          <w:b/>
          <w:bCs/>
          <w:kern w:val="2"/>
          <w:sz w:val="28"/>
          <w:szCs w:val="28"/>
          <w:lang w:val="en-US" w:eastAsia="zh-CN" w:bidi="ar-SA"/>
        </w:rPr>
        <w:t>.我的待办事宜</w:t>
      </w:r>
      <w:bookmarkEnd w:id="11"/>
      <w:bookmarkEnd w:id="12"/>
    </w:p>
    <w:p w14:paraId="7F5BBF69">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显示当前用户的待办事项，系统中所有需要办理的工作，在我的待办事宜区域进行显示，点击可进行办理。</w:t>
      </w:r>
    </w:p>
    <w:p w14:paraId="5BD8DFE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394585"/>
            <wp:effectExtent l="0" t="0" r="3810" b="57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0"/>
                    <a:stretch>
                      <a:fillRect/>
                    </a:stretch>
                  </pic:blipFill>
                  <pic:spPr>
                    <a:xfrm>
                      <a:off x="0" y="0"/>
                      <a:ext cx="5266690" cy="2394585"/>
                    </a:xfrm>
                    <a:prstGeom prst="rect">
                      <a:avLst/>
                    </a:prstGeom>
                    <a:noFill/>
                    <a:ln>
                      <a:noFill/>
                    </a:ln>
                  </pic:spPr>
                </pic:pic>
              </a:graphicData>
            </a:graphic>
          </wp:inline>
        </w:drawing>
      </w:r>
    </w:p>
    <w:p w14:paraId="34AF9545">
      <w:pPr>
        <w:keepNext w:val="0"/>
        <w:keepLines w:val="0"/>
        <w:pageBreakBefore w:val="0"/>
        <w:widowControl w:val="0"/>
        <w:kinsoku/>
        <w:wordWrap/>
        <w:overflowPunct/>
        <w:topLinePunct w:val="0"/>
        <w:autoSpaceDE/>
        <w:autoSpaceDN/>
        <w:bidi w:val="0"/>
        <w:adjustRightInd/>
        <w:snapToGrid/>
        <w:spacing w:line="400" w:lineRule="exact"/>
        <w:ind w:firstLine="280" w:firstLineChars="100"/>
        <w:textAlignment w:val="auto"/>
        <w:outlineLvl w:val="1"/>
        <w:rPr>
          <w:rFonts w:hint="eastAsia" w:ascii="华文中宋" w:hAnsi="华文中宋" w:eastAsia="华文中宋" w:cs="华文中宋"/>
          <w:b/>
          <w:bCs/>
          <w:kern w:val="2"/>
          <w:sz w:val="28"/>
          <w:szCs w:val="28"/>
          <w:lang w:val="en-US" w:eastAsia="zh-CN" w:bidi="ar-SA"/>
        </w:rPr>
      </w:pPr>
      <w:bookmarkStart w:id="13" w:name="_Toc14563"/>
      <w:r>
        <w:rPr>
          <w:rFonts w:hint="eastAsia" w:ascii="华文中宋" w:hAnsi="华文中宋" w:eastAsia="华文中宋" w:cs="华文中宋"/>
          <w:b/>
          <w:bCs/>
          <w:kern w:val="2"/>
          <w:sz w:val="28"/>
          <w:szCs w:val="28"/>
          <w:lang w:val="en-US" w:eastAsia="zh-CN" w:bidi="ar-SA"/>
        </w:rPr>
        <w:t>3.数据中心</w:t>
      </w:r>
      <w:bookmarkEnd w:id="13"/>
    </w:p>
    <w:p w14:paraId="07C28E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显示采购项目的汇总数据，点击相应的入口快捷查看。</w:t>
      </w:r>
    </w:p>
    <w:p w14:paraId="2052FDD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华文中宋" w:hAnsi="华文中宋" w:eastAsia="华文中宋" w:cs="华文中宋"/>
          <w:kern w:val="2"/>
          <w:sz w:val="24"/>
          <w:szCs w:val="22"/>
          <w:lang w:val="en-US" w:eastAsia="zh-CN" w:bidi="ar-SA"/>
        </w:rPr>
      </w:pPr>
      <w:r>
        <w:drawing>
          <wp:inline distT="0" distB="0" distL="114300" distR="114300">
            <wp:extent cx="5266690" cy="2402840"/>
            <wp:effectExtent l="0" t="0" r="3810"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266690" cy="2402840"/>
                    </a:xfrm>
                    <a:prstGeom prst="rect">
                      <a:avLst/>
                    </a:prstGeom>
                    <a:noFill/>
                    <a:ln>
                      <a:noFill/>
                    </a:ln>
                  </pic:spPr>
                </pic:pic>
              </a:graphicData>
            </a:graphic>
          </wp:inline>
        </w:drawing>
      </w:r>
    </w:p>
    <w:p w14:paraId="1666C7C4">
      <w:pPr>
        <w:keepNext w:val="0"/>
        <w:keepLines w:val="0"/>
        <w:pageBreakBefore w:val="0"/>
        <w:widowControl w:val="0"/>
        <w:kinsoku/>
        <w:wordWrap/>
        <w:overflowPunct/>
        <w:topLinePunct w:val="0"/>
        <w:autoSpaceDE/>
        <w:autoSpaceDN/>
        <w:bidi w:val="0"/>
        <w:adjustRightInd/>
        <w:snapToGrid/>
        <w:spacing w:line="400" w:lineRule="exact"/>
        <w:ind w:firstLine="280" w:firstLineChars="100"/>
        <w:textAlignment w:val="auto"/>
        <w:outlineLvl w:val="1"/>
        <w:rPr>
          <w:rFonts w:hint="eastAsia" w:ascii="华文中宋" w:hAnsi="华文中宋" w:eastAsia="华文中宋" w:cs="华文中宋"/>
          <w:b/>
          <w:bCs/>
          <w:kern w:val="2"/>
          <w:sz w:val="28"/>
          <w:szCs w:val="28"/>
          <w:lang w:val="en-US" w:eastAsia="zh-CN" w:bidi="ar-SA"/>
        </w:rPr>
      </w:pPr>
      <w:bookmarkStart w:id="14" w:name="_Toc16338"/>
      <w:bookmarkStart w:id="15" w:name="_Toc18080"/>
      <w:bookmarkStart w:id="16" w:name="_Toc16286"/>
      <w:bookmarkStart w:id="17" w:name="_Toc27225"/>
      <w:r>
        <w:rPr>
          <w:rFonts w:hint="eastAsia" w:ascii="华文中宋" w:hAnsi="华文中宋" w:eastAsia="华文中宋" w:cs="华文中宋"/>
          <w:b/>
          <w:bCs/>
          <w:kern w:val="2"/>
          <w:sz w:val="28"/>
          <w:szCs w:val="28"/>
          <w:lang w:val="en-US" w:eastAsia="zh-CN" w:bidi="ar-SA"/>
        </w:rPr>
        <w:t>4</w:t>
      </w:r>
      <w:bookmarkEnd w:id="14"/>
      <w:bookmarkEnd w:id="15"/>
      <w:r>
        <w:rPr>
          <w:rFonts w:hint="eastAsia" w:ascii="华文中宋" w:hAnsi="华文中宋" w:eastAsia="华文中宋" w:cs="华文中宋"/>
          <w:b/>
          <w:bCs/>
          <w:kern w:val="2"/>
          <w:sz w:val="28"/>
          <w:szCs w:val="28"/>
          <w:lang w:val="en-US" w:eastAsia="zh-CN" w:bidi="ar-SA"/>
        </w:rPr>
        <w:t>.系统通知</w:t>
      </w:r>
      <w:bookmarkEnd w:id="16"/>
      <w:bookmarkEnd w:id="17"/>
    </w:p>
    <w:p w14:paraId="5AAEE574">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显示系统的信息通知，快捷查看。</w:t>
      </w:r>
    </w:p>
    <w:p w14:paraId="005A960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402840"/>
            <wp:effectExtent l="0" t="0" r="38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6690" cy="2402840"/>
                    </a:xfrm>
                    <a:prstGeom prst="rect">
                      <a:avLst/>
                    </a:prstGeom>
                    <a:noFill/>
                    <a:ln>
                      <a:noFill/>
                    </a:ln>
                  </pic:spPr>
                </pic:pic>
              </a:graphicData>
            </a:graphic>
          </wp:inline>
        </w:drawing>
      </w:r>
    </w:p>
    <w:p w14:paraId="6D982847">
      <w:pPr>
        <w:keepNext w:val="0"/>
        <w:keepLines w:val="0"/>
        <w:pageBreakBefore w:val="0"/>
        <w:widowControl w:val="0"/>
        <w:kinsoku/>
        <w:wordWrap/>
        <w:overflowPunct/>
        <w:topLinePunct w:val="0"/>
        <w:autoSpaceDE/>
        <w:autoSpaceDN/>
        <w:bidi w:val="0"/>
        <w:adjustRightInd/>
        <w:snapToGrid/>
        <w:spacing w:line="400" w:lineRule="exact"/>
        <w:ind w:firstLine="280" w:firstLineChars="100"/>
        <w:textAlignment w:val="auto"/>
        <w:outlineLvl w:val="1"/>
        <w:rPr>
          <w:rFonts w:hint="eastAsia" w:ascii="华文中宋" w:hAnsi="华文中宋" w:eastAsia="华文中宋" w:cs="华文中宋"/>
          <w:b/>
          <w:bCs/>
          <w:kern w:val="2"/>
          <w:sz w:val="28"/>
          <w:szCs w:val="28"/>
          <w:lang w:val="en-US" w:eastAsia="zh-CN" w:bidi="ar-SA"/>
        </w:rPr>
      </w:pPr>
      <w:bookmarkStart w:id="18" w:name="_Toc27783"/>
      <w:r>
        <w:rPr>
          <w:rFonts w:hint="eastAsia" w:ascii="华文中宋" w:hAnsi="华文中宋" w:eastAsia="华文中宋" w:cs="华文中宋"/>
          <w:b/>
          <w:bCs/>
          <w:kern w:val="2"/>
          <w:sz w:val="28"/>
          <w:szCs w:val="28"/>
          <w:lang w:val="en-US" w:eastAsia="zh-CN" w:bidi="ar-SA"/>
        </w:rPr>
        <w:t>5</w:t>
      </w:r>
      <w:bookmarkStart w:id="19" w:name="_Toc13781"/>
      <w:bookmarkStart w:id="20" w:name="_Toc21787"/>
      <w:bookmarkStart w:id="21" w:name="_Toc3921"/>
      <w:r>
        <w:rPr>
          <w:rFonts w:hint="eastAsia" w:ascii="华文中宋" w:hAnsi="华文中宋" w:eastAsia="华文中宋" w:cs="华文中宋"/>
          <w:b/>
          <w:bCs/>
          <w:kern w:val="2"/>
          <w:sz w:val="28"/>
          <w:szCs w:val="28"/>
          <w:lang w:val="en-US" w:eastAsia="zh-CN" w:bidi="ar-SA"/>
        </w:rPr>
        <w:t>.平台服务中心</w:t>
      </w:r>
      <w:bookmarkEnd w:id="18"/>
      <w:bookmarkEnd w:id="19"/>
      <w:bookmarkEnd w:id="20"/>
      <w:bookmarkEnd w:id="21"/>
    </w:p>
    <w:p w14:paraId="6801DB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显示平台使用手册、采购政策文件库，支持查看下载。</w:t>
      </w:r>
    </w:p>
    <w:p w14:paraId="0ACE1E0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lang w:val="en-US" w:eastAsia="zh-CN"/>
        </w:rPr>
      </w:pPr>
      <w:r>
        <w:drawing>
          <wp:inline distT="0" distB="0" distL="114300" distR="114300">
            <wp:extent cx="5266690" cy="2327275"/>
            <wp:effectExtent l="0" t="0" r="3810" b="952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3"/>
                    <a:stretch>
                      <a:fillRect/>
                    </a:stretch>
                  </pic:blipFill>
                  <pic:spPr>
                    <a:xfrm>
                      <a:off x="0" y="0"/>
                      <a:ext cx="5266690" cy="2327275"/>
                    </a:xfrm>
                    <a:prstGeom prst="rect">
                      <a:avLst/>
                    </a:prstGeom>
                    <a:noFill/>
                    <a:ln>
                      <a:noFill/>
                    </a:ln>
                  </pic:spPr>
                </pic:pic>
              </a:graphicData>
            </a:graphic>
          </wp:inline>
        </w:drawing>
      </w:r>
    </w:p>
    <w:p w14:paraId="52BCEFC7">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华文中宋" w:hAnsi="华文中宋" w:eastAsia="华文中宋" w:cs="华文中宋"/>
          <w:b/>
          <w:bCs/>
          <w:sz w:val="32"/>
          <w:szCs w:val="32"/>
          <w:lang w:val="en-US" w:eastAsia="zh-CN"/>
        </w:rPr>
      </w:pPr>
      <w:bookmarkStart w:id="22" w:name="_Toc7746"/>
      <w:r>
        <w:rPr>
          <w:rFonts w:hint="eastAsia" w:ascii="华文中宋" w:hAnsi="华文中宋" w:eastAsia="华文中宋" w:cs="华文中宋"/>
          <w:b/>
          <w:bCs/>
          <w:sz w:val="32"/>
          <w:szCs w:val="32"/>
          <w:lang w:val="en-US" w:eastAsia="zh-CN"/>
        </w:rPr>
        <w:t>第四章：系统操作指南</w:t>
      </w:r>
      <w:bookmarkEnd w:id="22"/>
    </w:p>
    <w:p w14:paraId="6C58BD3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华文中宋" w:hAnsi="华文中宋" w:eastAsia="华文中宋" w:cs="华文中宋"/>
          <w:b/>
          <w:bCs/>
          <w:kern w:val="2"/>
          <w:sz w:val="28"/>
          <w:szCs w:val="28"/>
          <w:lang w:val="en-US" w:eastAsia="zh-CN" w:bidi="ar-SA"/>
        </w:rPr>
      </w:pPr>
      <w:bookmarkStart w:id="23" w:name="_Toc11375"/>
      <w:r>
        <w:rPr>
          <w:rFonts w:hint="eastAsia" w:ascii="华文中宋" w:hAnsi="华文中宋" w:eastAsia="华文中宋" w:cs="华文中宋"/>
          <w:b/>
          <w:bCs/>
          <w:kern w:val="2"/>
          <w:sz w:val="28"/>
          <w:szCs w:val="28"/>
          <w:lang w:val="en-US" w:eastAsia="zh-CN" w:bidi="ar-SA"/>
        </w:rPr>
        <w:t>1.年度预算</w:t>
      </w:r>
      <w:bookmarkEnd w:id="23"/>
    </w:p>
    <w:p w14:paraId="6C5B1C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宋体" w:hAnsi="华文宋体" w:eastAsia="华文宋体" w:cs="华文宋体"/>
          <w:b w:val="0"/>
          <w:bCs w:val="0"/>
          <w:kern w:val="2"/>
          <w:sz w:val="24"/>
          <w:szCs w:val="22"/>
          <w:lang w:val="en-US" w:eastAsia="zh-CN" w:bidi="ar-SA"/>
        </w:rPr>
      </w:pPr>
      <w:r>
        <w:rPr>
          <w:rFonts w:hint="eastAsia" w:ascii="华文宋体" w:hAnsi="华文宋体" w:eastAsia="华文宋体" w:cs="华文宋体"/>
          <w:b w:val="0"/>
          <w:bCs w:val="0"/>
          <w:kern w:val="2"/>
          <w:sz w:val="24"/>
          <w:szCs w:val="22"/>
          <w:lang w:val="en-US" w:eastAsia="zh-CN" w:bidi="ar-SA"/>
        </w:rPr>
        <w:t>该功能为年度采购预算收集功能，采购与招投标办公室发布申报下一年度的采购预算公告时才使用。各项目部门经办人在系统中进行年度预算申报，经过相关领导审批通过后，采购与招投标办公室汇总收集。</w:t>
      </w:r>
    </w:p>
    <w:p w14:paraId="4CCD54E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kern w:val="2"/>
          <w:sz w:val="28"/>
          <w:szCs w:val="28"/>
          <w:lang w:val="en-US" w:eastAsia="zh-CN" w:bidi="ar-SA"/>
        </w:rPr>
      </w:pPr>
      <w:bookmarkStart w:id="24" w:name="_Toc29496"/>
      <w:r>
        <w:rPr>
          <w:rFonts w:hint="eastAsia" w:ascii="华文中宋" w:hAnsi="华文中宋" w:eastAsia="华文中宋" w:cs="华文中宋"/>
          <w:kern w:val="2"/>
          <w:sz w:val="28"/>
          <w:szCs w:val="28"/>
          <w:lang w:val="en-US" w:eastAsia="zh-CN" w:bidi="ar-SA"/>
        </w:rPr>
        <w:t>1.1年度预算申报</w:t>
      </w:r>
      <w:bookmarkEnd w:id="24"/>
    </w:p>
    <w:p w14:paraId="2F1E21BF">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项目负责人进入“年度预算-年度预算申报”菜单，点击【新增年度预算】按钮，进入年度预算信息填写页面。</w:t>
      </w:r>
    </w:p>
    <w:p w14:paraId="3F176C4F">
      <w:pPr>
        <w:keepNext w:val="0"/>
        <w:keepLines w:val="0"/>
        <w:pageBreakBefore w:val="0"/>
        <w:widowControl w:val="0"/>
        <w:kinsoku/>
        <w:wordWrap/>
        <w:overflowPunct/>
        <w:topLinePunct w:val="0"/>
        <w:autoSpaceDE/>
        <w:autoSpaceDN/>
        <w:bidi w:val="0"/>
        <w:adjustRightInd/>
        <w:snapToGrid/>
        <w:spacing w:line="360" w:lineRule="auto"/>
        <w:textAlignment w:val="auto"/>
        <w:rPr>
          <w:b/>
          <w:bCs/>
        </w:rPr>
      </w:pPr>
      <w:r>
        <w:drawing>
          <wp:inline distT="0" distB="0" distL="114300" distR="114300">
            <wp:extent cx="5266690" cy="2394585"/>
            <wp:effectExtent l="0" t="0" r="381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266690" cy="2394585"/>
                    </a:xfrm>
                    <a:prstGeom prst="rect">
                      <a:avLst/>
                    </a:prstGeom>
                    <a:noFill/>
                    <a:ln>
                      <a:noFill/>
                    </a:ln>
                  </pic:spPr>
                </pic:pic>
              </a:graphicData>
            </a:graphic>
          </wp:inline>
        </w:drawing>
      </w:r>
    </w:p>
    <w:p w14:paraId="0064A1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kern w:val="2"/>
          <w:sz w:val="24"/>
          <w:szCs w:val="22"/>
          <w:lang w:val="en-US" w:eastAsia="zh-CN" w:bidi="ar-SA"/>
        </w:rPr>
      </w:pPr>
      <w:r>
        <w:rPr>
          <w:rFonts w:hint="eastAsia" w:ascii="华文中宋" w:hAnsi="华文中宋" w:eastAsia="华文中宋" w:cs="华文中宋"/>
          <w:kern w:val="2"/>
          <w:sz w:val="24"/>
          <w:szCs w:val="22"/>
          <w:lang w:val="en-US" w:eastAsia="zh-CN" w:bidi="ar-SA"/>
        </w:rPr>
        <w:t>主要分为四个板块：①业务流程图展示、②填写部门信息、③项目信息填写、④项目附件上传。</w:t>
      </w:r>
      <w:r>
        <w:rPr>
          <w:rFonts w:hint="eastAsia" w:ascii="宋体" w:hAnsi="Times New Roman" w:eastAsia="宋体" w:cs="Times New Roman"/>
          <w:color w:val="FF0000"/>
          <w:kern w:val="2"/>
          <w:sz w:val="24"/>
          <w:szCs w:val="22"/>
          <w:lang w:val="en-US" w:eastAsia="zh-CN" w:bidi="ar-SA"/>
        </w:rPr>
        <w:t>（注：带有红色“*”为必填项）</w:t>
      </w:r>
    </w:p>
    <w:p w14:paraId="56A080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①业务流程图展示：</w:t>
      </w:r>
    </w:p>
    <w:p w14:paraId="2DE00232">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742815" cy="653415"/>
            <wp:effectExtent l="9525" t="9525" r="10160" b="2286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rcRect r="9871"/>
                    <a:stretch>
                      <a:fillRect/>
                    </a:stretch>
                  </pic:blipFill>
                  <pic:spPr>
                    <a:xfrm>
                      <a:off x="0" y="0"/>
                      <a:ext cx="4742815" cy="653415"/>
                    </a:xfrm>
                    <a:prstGeom prst="rect">
                      <a:avLst/>
                    </a:prstGeom>
                    <a:noFill/>
                    <a:ln>
                      <a:solidFill>
                        <a:schemeClr val="bg1">
                          <a:lumMod val="85000"/>
                        </a:schemeClr>
                      </a:solidFill>
                    </a:ln>
                  </pic:spPr>
                </pic:pic>
              </a:graphicData>
            </a:graphic>
          </wp:inline>
        </w:drawing>
      </w:r>
    </w:p>
    <w:p w14:paraId="605E07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②填写部门信息：填写项目负责人和电话。</w:t>
      </w:r>
    </w:p>
    <w:p w14:paraId="58C341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4770120" cy="769620"/>
            <wp:effectExtent l="9525" t="9525" r="20955" b="2095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rcRect r="9429"/>
                    <a:stretch>
                      <a:fillRect/>
                    </a:stretch>
                  </pic:blipFill>
                  <pic:spPr>
                    <a:xfrm>
                      <a:off x="0" y="0"/>
                      <a:ext cx="4770120" cy="769620"/>
                    </a:xfrm>
                    <a:prstGeom prst="rect">
                      <a:avLst/>
                    </a:prstGeom>
                    <a:noFill/>
                    <a:ln>
                      <a:solidFill>
                        <a:schemeClr val="bg1">
                          <a:lumMod val="85000"/>
                        </a:schemeClr>
                      </a:solidFill>
                    </a:ln>
                  </pic:spPr>
                </pic:pic>
              </a:graphicData>
            </a:graphic>
          </wp:inline>
        </w:drawing>
      </w:r>
    </w:p>
    <w:p w14:paraId="257B64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③项目信息填写：根据相应的要求进行填写。</w:t>
      </w:r>
    </w:p>
    <w:p w14:paraId="0DCFC1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drawing>
          <wp:inline distT="0" distB="0" distL="114300" distR="114300">
            <wp:extent cx="5272405" cy="2445385"/>
            <wp:effectExtent l="9525" t="9525" r="13970" b="215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272405" cy="2445385"/>
                    </a:xfrm>
                    <a:prstGeom prst="rect">
                      <a:avLst/>
                    </a:prstGeom>
                    <a:noFill/>
                    <a:ln>
                      <a:solidFill>
                        <a:schemeClr val="bg1">
                          <a:lumMod val="85000"/>
                        </a:schemeClr>
                      </a:solidFill>
                    </a:ln>
                  </pic:spPr>
                </pic:pic>
              </a:graphicData>
            </a:graphic>
          </wp:inline>
        </w:drawing>
      </w:r>
    </w:p>
    <w:p w14:paraId="290992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④项目附件上传：上传相关的附件信息。</w:t>
      </w:r>
    </w:p>
    <w:p w14:paraId="518B9B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0975" cy="964565"/>
            <wp:effectExtent l="0" t="0" r="15875" b="698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260975" cy="964565"/>
                    </a:xfrm>
                    <a:prstGeom prst="rect">
                      <a:avLst/>
                    </a:prstGeom>
                    <a:noFill/>
                    <a:ln>
                      <a:noFill/>
                    </a:ln>
                  </pic:spPr>
                </pic:pic>
              </a:graphicData>
            </a:graphic>
          </wp:inline>
        </w:drawing>
      </w:r>
    </w:p>
    <w:p w14:paraId="332187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⑤确认信息无误，点击【保存】按钮，完成一条年度预算录入工作。</w:t>
      </w:r>
    </w:p>
    <w:p w14:paraId="437A5EF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b w:val="0"/>
          <w:bCs w:val="0"/>
          <w:kern w:val="2"/>
          <w:sz w:val="28"/>
          <w:szCs w:val="28"/>
          <w:lang w:val="en-US" w:eastAsia="zh-CN" w:bidi="ar-SA"/>
        </w:rPr>
      </w:pPr>
      <w:bookmarkStart w:id="25" w:name="_Toc30878"/>
      <w:r>
        <w:rPr>
          <w:rFonts w:hint="eastAsia" w:ascii="华文中宋" w:hAnsi="华文中宋" w:eastAsia="华文中宋" w:cs="华文中宋"/>
          <w:b w:val="0"/>
          <w:bCs w:val="0"/>
          <w:kern w:val="2"/>
          <w:sz w:val="28"/>
          <w:szCs w:val="28"/>
          <w:lang w:val="en-US" w:eastAsia="zh-CN" w:bidi="ar-SA"/>
        </w:rPr>
        <w:t>1.2年度预算送审</w:t>
      </w:r>
      <w:bookmarkEnd w:id="25"/>
    </w:p>
    <w:p w14:paraId="75D75A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项目负责人进入“年度预算-年度预算申报”菜单，点击“待送审预算”页签，可看到刚录入保存的计划数据，如果还需要再录入一条年度预算，继续点击【新增年度预算】按钮，再次填写信息保存即可。采购预算全部申报保存完成，勾选需要送审的年度预算数据，点击【年度预算送审】按钮进行送审。</w:t>
      </w:r>
    </w:p>
    <w:p w14:paraId="68D18D64">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392045"/>
            <wp:effectExtent l="0" t="0" r="3810"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5266690" cy="2392045"/>
                    </a:xfrm>
                    <a:prstGeom prst="rect">
                      <a:avLst/>
                    </a:prstGeom>
                    <a:noFill/>
                    <a:ln>
                      <a:noFill/>
                    </a:ln>
                  </pic:spPr>
                </pic:pic>
              </a:graphicData>
            </a:graphic>
          </wp:inline>
        </w:drawing>
      </w:r>
    </w:p>
    <w:p w14:paraId="016FAC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弹出温馨提示：请您确认本部门年度预算是否全部填报？</w:t>
      </w:r>
    </w:p>
    <w:p w14:paraId="11BC75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点击【未完成填报，继续填报】按钮将会跳转至年度预算填报页面，继续填报。点击【确认已全部填报】按钮，将会进入送审页面。</w:t>
      </w:r>
    </w:p>
    <w:p w14:paraId="6D93E388">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040" cy="1675765"/>
            <wp:effectExtent l="0" t="0" r="1016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0"/>
                    <a:stretch>
                      <a:fillRect/>
                    </a:stretch>
                  </pic:blipFill>
                  <pic:spPr>
                    <a:xfrm>
                      <a:off x="0" y="0"/>
                      <a:ext cx="5273040" cy="1675765"/>
                    </a:xfrm>
                    <a:prstGeom prst="rect">
                      <a:avLst/>
                    </a:prstGeom>
                    <a:noFill/>
                    <a:ln>
                      <a:noFill/>
                    </a:ln>
                  </pic:spPr>
                </pic:pic>
              </a:graphicData>
            </a:graphic>
          </wp:inline>
        </w:drawing>
      </w:r>
    </w:p>
    <w:p w14:paraId="2DAEBB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点击【送审】按钮，在弹窗中点击【确认】按钮，就已经全部申报完成，发送至审批人进行审批。</w:t>
      </w:r>
    </w:p>
    <w:p w14:paraId="2830D9A7">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411095"/>
            <wp:effectExtent l="0" t="0" r="3810" b="190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1"/>
                    <a:stretch>
                      <a:fillRect/>
                    </a:stretch>
                  </pic:blipFill>
                  <pic:spPr>
                    <a:xfrm>
                      <a:off x="0" y="0"/>
                      <a:ext cx="5266690" cy="2411095"/>
                    </a:xfrm>
                    <a:prstGeom prst="rect">
                      <a:avLst/>
                    </a:prstGeom>
                    <a:noFill/>
                    <a:ln>
                      <a:noFill/>
                    </a:ln>
                  </pic:spPr>
                </pic:pic>
              </a:graphicData>
            </a:graphic>
          </wp:inline>
        </w:drawing>
      </w:r>
    </w:p>
    <w:p w14:paraId="528566F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kern w:val="2"/>
          <w:sz w:val="28"/>
          <w:szCs w:val="28"/>
          <w:lang w:val="en-US" w:eastAsia="zh-CN" w:bidi="ar-SA"/>
        </w:rPr>
      </w:pPr>
      <w:bookmarkStart w:id="26" w:name="_Toc4634"/>
      <w:r>
        <w:rPr>
          <w:rFonts w:hint="eastAsia" w:ascii="华文中宋" w:hAnsi="华文中宋" w:eastAsia="华文中宋" w:cs="华文中宋"/>
          <w:kern w:val="2"/>
          <w:sz w:val="28"/>
          <w:szCs w:val="28"/>
          <w:lang w:val="en-US" w:eastAsia="zh-CN" w:bidi="ar-SA"/>
        </w:rPr>
        <w:t>1.3年度预算审批</w:t>
      </w:r>
      <w:bookmarkEnd w:id="26"/>
    </w:p>
    <w:p w14:paraId="340BF7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审批人进入“年度预算-年度预算审批”菜单或在首页点击“您有年度预算数据待审批”待办事项，进入年度预算审批页面。</w:t>
      </w:r>
    </w:p>
    <w:p w14:paraId="03DD8EC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宋体" w:hAnsi="Times New Roman" w:eastAsia="宋体" w:cs="Times New Roman"/>
          <w:kern w:val="2"/>
          <w:sz w:val="24"/>
          <w:szCs w:val="22"/>
          <w:lang w:val="en-US" w:eastAsia="zh-CN" w:bidi="ar-SA"/>
        </w:rPr>
      </w:pPr>
      <w:r>
        <w:drawing>
          <wp:inline distT="0" distB="0" distL="114300" distR="114300">
            <wp:extent cx="5266690" cy="2402840"/>
            <wp:effectExtent l="0" t="0" r="3810" b="1016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2"/>
                    <a:stretch>
                      <a:fillRect/>
                    </a:stretch>
                  </pic:blipFill>
                  <pic:spPr>
                    <a:xfrm>
                      <a:off x="0" y="0"/>
                      <a:ext cx="5266690" cy="2402840"/>
                    </a:xfrm>
                    <a:prstGeom prst="rect">
                      <a:avLst/>
                    </a:prstGeom>
                    <a:noFill/>
                    <a:ln>
                      <a:noFill/>
                    </a:ln>
                  </pic:spPr>
                </pic:pic>
              </a:graphicData>
            </a:graphic>
          </wp:inline>
        </w:drawing>
      </w:r>
    </w:p>
    <w:p w14:paraId="72FA46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可以看到项目负责人提交的年度预算数据，点击【批量审批】按钮，对申报的年度采购预算进行审批。</w:t>
      </w:r>
    </w:p>
    <w:p w14:paraId="21F6100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华文中宋" w:hAnsi="华文中宋" w:eastAsia="华文中宋" w:cs="华文中宋"/>
          <w:kern w:val="2"/>
          <w:sz w:val="24"/>
          <w:szCs w:val="22"/>
          <w:lang w:val="en-US" w:eastAsia="zh-CN" w:bidi="ar-SA"/>
        </w:rPr>
      </w:pPr>
      <w:r>
        <w:drawing>
          <wp:inline distT="0" distB="0" distL="114300" distR="114300">
            <wp:extent cx="5266690" cy="2378075"/>
            <wp:effectExtent l="0" t="0" r="3810" b="952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3"/>
                    <a:stretch>
                      <a:fillRect/>
                    </a:stretch>
                  </pic:blipFill>
                  <pic:spPr>
                    <a:xfrm>
                      <a:off x="0" y="0"/>
                      <a:ext cx="5266690" cy="2378075"/>
                    </a:xfrm>
                    <a:prstGeom prst="rect">
                      <a:avLst/>
                    </a:prstGeom>
                    <a:noFill/>
                    <a:ln>
                      <a:noFill/>
                    </a:ln>
                  </pic:spPr>
                </pic:pic>
              </a:graphicData>
            </a:graphic>
          </wp:inline>
        </w:drawing>
      </w:r>
    </w:p>
    <w:p w14:paraId="207A1E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勾选需要审批的年度预算数据，不同意请填写理由再点击【不同意并退回】按钮，退回至项目负责人修改后再次送审。同意请点击【同意并提交】按钮。如归口部门是本部门就直接审批完成。如归口部门不是本部门，还需归口部门负责人审批，直至审批完成。</w:t>
      </w:r>
    </w:p>
    <w:p w14:paraId="6B65903D">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392045"/>
            <wp:effectExtent l="0" t="0" r="3810"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4"/>
                    <a:stretch>
                      <a:fillRect/>
                    </a:stretch>
                  </pic:blipFill>
                  <pic:spPr>
                    <a:xfrm>
                      <a:off x="0" y="0"/>
                      <a:ext cx="5266690" cy="2392045"/>
                    </a:xfrm>
                    <a:prstGeom prst="rect">
                      <a:avLst/>
                    </a:prstGeom>
                    <a:noFill/>
                    <a:ln>
                      <a:noFill/>
                    </a:ln>
                  </pic:spPr>
                </pic:pic>
              </a:graphicData>
            </a:graphic>
          </wp:inline>
        </w:drawing>
      </w:r>
    </w:p>
    <w:p w14:paraId="7DEA722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华文中宋" w:hAnsi="华文中宋" w:eastAsia="华文中宋" w:cs="华文中宋"/>
          <w:b/>
          <w:bCs/>
          <w:kern w:val="2"/>
          <w:sz w:val="28"/>
          <w:szCs w:val="28"/>
          <w:lang w:val="en-US" w:eastAsia="zh-CN" w:bidi="ar-SA"/>
        </w:rPr>
      </w:pPr>
      <w:bookmarkStart w:id="27" w:name="_Toc25550"/>
      <w:r>
        <w:rPr>
          <w:rFonts w:hint="eastAsia" w:ascii="华文中宋" w:hAnsi="华文中宋" w:eastAsia="华文中宋" w:cs="华文中宋"/>
          <w:b/>
          <w:bCs/>
          <w:kern w:val="2"/>
          <w:sz w:val="28"/>
          <w:szCs w:val="28"/>
          <w:lang w:val="en-US" w:eastAsia="zh-CN" w:bidi="ar-SA"/>
        </w:rPr>
        <w:t>2.政府采购意向</w:t>
      </w:r>
      <w:bookmarkEnd w:id="27"/>
    </w:p>
    <w:p w14:paraId="5A45E7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根据湖南省财政厅关于印发《湖南省政府采购意向公开工作方案》的通知（湘财购[2020]18号），采购限额标准以上的项目（货物50万元及以上、服务80万元及以上、工程100万元及以上）应当公开采购意向。</w:t>
      </w:r>
    </w:p>
    <w:p w14:paraId="62578BD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kern w:val="2"/>
          <w:sz w:val="28"/>
          <w:szCs w:val="28"/>
          <w:lang w:val="en-US" w:eastAsia="zh-CN" w:bidi="ar-SA"/>
        </w:rPr>
      </w:pPr>
      <w:bookmarkStart w:id="28" w:name="_Toc680"/>
      <w:r>
        <w:rPr>
          <w:rFonts w:hint="eastAsia" w:ascii="华文中宋" w:hAnsi="华文中宋" w:eastAsia="华文中宋" w:cs="华文中宋"/>
          <w:kern w:val="2"/>
          <w:sz w:val="28"/>
          <w:szCs w:val="28"/>
          <w:lang w:val="en-US" w:eastAsia="zh-CN" w:bidi="ar-SA"/>
        </w:rPr>
        <w:t>2.1 采购意向录入</w:t>
      </w:r>
      <w:bookmarkEnd w:id="28"/>
    </w:p>
    <w:p w14:paraId="159BE2E1">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项目负责人进入“采购意向公开-采购意向录入”菜单或在首页点击“我要发起工作-采购意向录入”入口，进入采购意向录入页面。</w:t>
      </w:r>
    </w:p>
    <w:p w14:paraId="42E210DF">
      <w:pPr>
        <w:pStyle w:val="16"/>
        <w:keepNext w:val="0"/>
        <w:keepLines w:val="0"/>
        <w:pageBreakBefore w:val="0"/>
        <w:widowControl w:val="0"/>
        <w:kinsoku/>
        <w:wordWrap/>
        <w:overflowPunct/>
        <w:topLinePunct w:val="0"/>
        <w:autoSpaceDE/>
        <w:autoSpaceDN/>
        <w:bidi w:val="0"/>
        <w:adjustRightInd w:val="0"/>
        <w:snapToGrid w:val="0"/>
        <w:spacing w:before="93" w:line="360" w:lineRule="auto"/>
        <w:ind w:left="0" w:leftChars="0" w:firstLine="0" w:firstLineChars="0"/>
        <w:textAlignment w:val="auto"/>
        <w:rPr>
          <w:rFonts w:hint="default" w:ascii="华文中宋" w:hAnsi="华文中宋" w:eastAsia="华文中宋" w:cs="华文中宋"/>
          <w:kern w:val="2"/>
          <w:sz w:val="24"/>
          <w:szCs w:val="22"/>
          <w:lang w:val="en-US" w:eastAsia="zh-CN" w:bidi="ar-SA"/>
        </w:rPr>
      </w:pPr>
      <w:r>
        <w:drawing>
          <wp:inline distT="0" distB="0" distL="114300" distR="114300">
            <wp:extent cx="5266690" cy="2520950"/>
            <wp:effectExtent l="0" t="0" r="10160" b="1270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5"/>
                    <a:stretch>
                      <a:fillRect/>
                    </a:stretch>
                  </pic:blipFill>
                  <pic:spPr>
                    <a:xfrm>
                      <a:off x="0" y="0"/>
                      <a:ext cx="5266690" cy="2520950"/>
                    </a:xfrm>
                    <a:prstGeom prst="rect">
                      <a:avLst/>
                    </a:prstGeom>
                    <a:noFill/>
                    <a:ln>
                      <a:noFill/>
                    </a:ln>
                  </pic:spPr>
                </pic:pic>
              </a:graphicData>
            </a:graphic>
          </wp:inline>
        </w:drawing>
      </w:r>
    </w:p>
    <w:p w14:paraId="6C4D5B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点击右上角【新增意向公开】按钮，在弹框中选择相应的公开季度，点击【确认并前往录入】按钮，进入采购意向信息录入页面。</w:t>
      </w:r>
    </w:p>
    <w:p w14:paraId="122F1A76">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520950"/>
            <wp:effectExtent l="0" t="0" r="10160" b="1270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6"/>
                    <a:stretch>
                      <a:fillRect/>
                    </a:stretch>
                  </pic:blipFill>
                  <pic:spPr>
                    <a:xfrm>
                      <a:off x="0" y="0"/>
                      <a:ext cx="5266690" cy="2520950"/>
                    </a:xfrm>
                    <a:prstGeom prst="rect">
                      <a:avLst/>
                    </a:prstGeom>
                    <a:noFill/>
                    <a:ln>
                      <a:noFill/>
                    </a:ln>
                  </pic:spPr>
                </pic:pic>
              </a:graphicData>
            </a:graphic>
          </wp:inline>
        </w:drawing>
      </w:r>
    </w:p>
    <w:p w14:paraId="356D1D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点击【快速录入】按钮，在“待公开计划”列表选择一条年度预算金额达到政府限额以上并已审批通过的财政性资金项目。</w:t>
      </w:r>
    </w:p>
    <w:p w14:paraId="7A65088F">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40030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a:stretch>
                      <a:fillRect/>
                    </a:stretch>
                  </pic:blipFill>
                  <pic:spPr>
                    <a:xfrm>
                      <a:off x="0" y="0"/>
                      <a:ext cx="5266690" cy="2400300"/>
                    </a:xfrm>
                    <a:prstGeom prst="rect">
                      <a:avLst/>
                    </a:prstGeom>
                    <a:noFill/>
                    <a:ln>
                      <a:noFill/>
                    </a:ln>
                  </pic:spPr>
                </pic:pic>
              </a:graphicData>
            </a:graphic>
          </wp:inline>
        </w:drawing>
      </w:r>
    </w:p>
    <w:p w14:paraId="4334A364">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73675" cy="1972945"/>
            <wp:effectExtent l="0" t="0" r="9525" b="825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28"/>
                    <a:stretch>
                      <a:fillRect/>
                    </a:stretch>
                  </pic:blipFill>
                  <pic:spPr>
                    <a:xfrm>
                      <a:off x="0" y="0"/>
                      <a:ext cx="5273675" cy="1972945"/>
                    </a:xfrm>
                    <a:prstGeom prst="rect">
                      <a:avLst/>
                    </a:prstGeom>
                    <a:noFill/>
                    <a:ln>
                      <a:noFill/>
                    </a:ln>
                  </pic:spPr>
                </pic:pic>
              </a:graphicData>
            </a:graphic>
          </wp:inline>
        </w:drawing>
      </w:r>
    </w:p>
    <w:p w14:paraId="0443DD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确认审批人员无误，点击【确定并送审】按钮发送至部门负责人审批。</w:t>
      </w:r>
    </w:p>
    <w:p w14:paraId="42DBFD61">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402840"/>
            <wp:effectExtent l="0" t="0" r="3810" b="1016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9"/>
                    <a:stretch>
                      <a:fillRect/>
                    </a:stretch>
                  </pic:blipFill>
                  <pic:spPr>
                    <a:xfrm>
                      <a:off x="0" y="0"/>
                      <a:ext cx="5266690" cy="2402840"/>
                    </a:xfrm>
                    <a:prstGeom prst="rect">
                      <a:avLst/>
                    </a:prstGeom>
                    <a:noFill/>
                    <a:ln>
                      <a:noFill/>
                    </a:ln>
                  </pic:spPr>
                </pic:pic>
              </a:graphicData>
            </a:graphic>
          </wp:inline>
        </w:drawing>
      </w:r>
    </w:p>
    <w:p w14:paraId="4980793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kern w:val="2"/>
          <w:sz w:val="28"/>
          <w:szCs w:val="28"/>
          <w:lang w:val="en-US" w:eastAsia="zh-CN" w:bidi="ar-SA"/>
        </w:rPr>
      </w:pPr>
      <w:bookmarkStart w:id="29" w:name="_Toc24297"/>
      <w:r>
        <w:rPr>
          <w:rFonts w:hint="eastAsia" w:ascii="华文中宋" w:hAnsi="华文中宋" w:eastAsia="华文中宋" w:cs="华文中宋"/>
          <w:kern w:val="2"/>
          <w:sz w:val="28"/>
          <w:szCs w:val="28"/>
          <w:lang w:val="en-US" w:eastAsia="zh-CN" w:bidi="ar-SA"/>
        </w:rPr>
        <w:t>2.2 查看已录入的采购意向</w:t>
      </w:r>
      <w:bookmarkEnd w:id="29"/>
    </w:p>
    <w:p w14:paraId="62C3A2F6">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项目负责人在“采购意向公开—采购意向录入”查看已录入的采购意向项目。</w:t>
      </w:r>
    </w:p>
    <w:p w14:paraId="211064D7">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分别有三个页签：①待送审：采购意向录入完成已保存但未送审的项目，可在此页签进行送审操作。②已送审：已经送审的采购意向数据，可查看下一审批人③项目明细：查看录入的项目清单明细。</w:t>
      </w:r>
    </w:p>
    <w:p w14:paraId="25306453">
      <w:pPr>
        <w:pStyle w:val="16"/>
        <w:keepNext w:val="0"/>
        <w:keepLines w:val="0"/>
        <w:pageBreakBefore w:val="0"/>
        <w:widowControl w:val="0"/>
        <w:kinsoku/>
        <w:wordWrap/>
        <w:overflowPunct/>
        <w:topLinePunct w:val="0"/>
        <w:autoSpaceDE/>
        <w:autoSpaceDN/>
        <w:bidi w:val="0"/>
        <w:adjustRightInd w:val="0"/>
        <w:snapToGrid w:val="0"/>
        <w:spacing w:before="93" w:line="360" w:lineRule="auto"/>
        <w:ind w:left="0" w:leftChars="0" w:firstLine="0" w:firstLineChars="0"/>
        <w:textAlignment w:val="auto"/>
        <w:rPr>
          <w:rFonts w:hint="eastAsia" w:ascii="黑体" w:hAnsi="黑体" w:eastAsia="黑体" w:cs="黑体"/>
          <w:b w:val="0"/>
          <w:bCs w:val="0"/>
          <w:sz w:val="24"/>
          <w:szCs w:val="24"/>
          <w:lang w:val="en-US" w:eastAsia="zh-CN"/>
        </w:rPr>
      </w:pPr>
      <w:r>
        <w:drawing>
          <wp:inline distT="0" distB="0" distL="114300" distR="114300">
            <wp:extent cx="5266690" cy="2394585"/>
            <wp:effectExtent l="0" t="0" r="3810" b="5715"/>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30"/>
                    <a:stretch>
                      <a:fillRect/>
                    </a:stretch>
                  </pic:blipFill>
                  <pic:spPr>
                    <a:xfrm>
                      <a:off x="0" y="0"/>
                      <a:ext cx="5266690" cy="2394585"/>
                    </a:xfrm>
                    <a:prstGeom prst="rect">
                      <a:avLst/>
                    </a:prstGeom>
                    <a:noFill/>
                    <a:ln>
                      <a:noFill/>
                    </a:ln>
                  </pic:spPr>
                </pic:pic>
              </a:graphicData>
            </a:graphic>
          </wp:inline>
        </w:drawing>
      </w:r>
    </w:p>
    <w:p w14:paraId="1DEEDCB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kern w:val="2"/>
          <w:sz w:val="28"/>
          <w:szCs w:val="28"/>
          <w:lang w:val="en-US" w:eastAsia="zh-CN" w:bidi="ar-SA"/>
        </w:rPr>
      </w:pPr>
      <w:bookmarkStart w:id="30" w:name="_Toc422"/>
      <w:r>
        <w:rPr>
          <w:rFonts w:hint="eastAsia" w:ascii="华文中宋" w:hAnsi="华文中宋" w:eastAsia="华文中宋" w:cs="华文中宋"/>
          <w:kern w:val="2"/>
          <w:sz w:val="28"/>
          <w:szCs w:val="28"/>
          <w:lang w:val="en-US" w:eastAsia="zh-CN" w:bidi="ar-SA"/>
        </w:rPr>
        <w:t>2.3 采购意向审批</w:t>
      </w:r>
      <w:bookmarkEnd w:id="30"/>
    </w:p>
    <w:p w14:paraId="76CD2E10">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审批人进入“采购意向-采购意向审批”菜单或在首页点击“采购意向公开数据待审批”待办事项，进入采购意向审批页面。</w:t>
      </w:r>
    </w:p>
    <w:p w14:paraId="33C900E8">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20950"/>
            <wp:effectExtent l="0" t="0" r="10160" b="1270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1"/>
                    <a:stretch>
                      <a:fillRect/>
                    </a:stretch>
                  </pic:blipFill>
                  <pic:spPr>
                    <a:xfrm>
                      <a:off x="0" y="0"/>
                      <a:ext cx="5266690" cy="2520950"/>
                    </a:xfrm>
                    <a:prstGeom prst="rect">
                      <a:avLst/>
                    </a:prstGeom>
                    <a:noFill/>
                    <a:ln>
                      <a:noFill/>
                    </a:ln>
                  </pic:spPr>
                </pic:pic>
              </a:graphicData>
            </a:graphic>
          </wp:inline>
        </w:drawing>
      </w:r>
    </w:p>
    <w:p w14:paraId="100CFE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可以看到项目负责人提交的采购意向数据，点击右上角【审批】按钮，对采购意向进行审批。</w:t>
      </w:r>
    </w:p>
    <w:p w14:paraId="1A32DC45">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20950"/>
            <wp:effectExtent l="0" t="0" r="10160" b="1270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2"/>
                    <a:stretch>
                      <a:fillRect/>
                    </a:stretch>
                  </pic:blipFill>
                  <pic:spPr>
                    <a:xfrm>
                      <a:off x="0" y="0"/>
                      <a:ext cx="5266690" cy="2520950"/>
                    </a:xfrm>
                    <a:prstGeom prst="rect">
                      <a:avLst/>
                    </a:prstGeom>
                    <a:noFill/>
                    <a:ln>
                      <a:noFill/>
                    </a:ln>
                  </pic:spPr>
                </pic:pic>
              </a:graphicData>
            </a:graphic>
          </wp:inline>
        </w:drawing>
      </w:r>
    </w:p>
    <w:p w14:paraId="3338C5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pPr>
      <w:r>
        <w:rPr>
          <w:rFonts w:hint="eastAsia" w:ascii="华文中宋" w:hAnsi="华文中宋" w:eastAsia="华文中宋" w:cs="华文中宋"/>
          <w:kern w:val="2"/>
          <w:sz w:val="24"/>
          <w:szCs w:val="22"/>
          <w:lang w:val="en-US" w:eastAsia="zh-CN" w:bidi="ar-SA"/>
        </w:rPr>
        <w:t>不同意请填写理由再点击【审批退回】按钮，退回至项目负责人修改后再次送审。同意请点击【审批通过】按钮。流转至招标办经办人进行采购意向汇总。</w:t>
      </w:r>
    </w:p>
    <w:p w14:paraId="3959269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黑体"/>
          <w:b/>
          <w:bCs/>
          <w:sz w:val="28"/>
          <w:szCs w:val="28"/>
          <w:lang w:val="en-US" w:eastAsia="zh-CN"/>
        </w:rPr>
      </w:pPr>
      <w:r>
        <w:drawing>
          <wp:inline distT="0" distB="0" distL="114300" distR="114300">
            <wp:extent cx="5266690" cy="2520950"/>
            <wp:effectExtent l="0" t="0" r="10160" b="1270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3"/>
                    <a:stretch>
                      <a:fillRect/>
                    </a:stretch>
                  </pic:blipFill>
                  <pic:spPr>
                    <a:xfrm>
                      <a:off x="0" y="0"/>
                      <a:ext cx="5266690" cy="2520950"/>
                    </a:xfrm>
                    <a:prstGeom prst="rect">
                      <a:avLst/>
                    </a:prstGeom>
                    <a:noFill/>
                    <a:ln>
                      <a:noFill/>
                    </a:ln>
                  </pic:spPr>
                </pic:pic>
              </a:graphicData>
            </a:graphic>
          </wp:inline>
        </w:drawing>
      </w:r>
    </w:p>
    <w:p w14:paraId="7C817A9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kern w:val="2"/>
          <w:sz w:val="28"/>
          <w:szCs w:val="28"/>
          <w:lang w:val="en-US" w:eastAsia="zh-CN" w:bidi="ar-SA"/>
        </w:rPr>
      </w:pPr>
      <w:bookmarkStart w:id="31" w:name="_Toc3358"/>
      <w:r>
        <w:rPr>
          <w:rFonts w:hint="eastAsia" w:ascii="华文中宋" w:hAnsi="华文中宋" w:eastAsia="华文中宋" w:cs="华文中宋"/>
          <w:kern w:val="2"/>
          <w:sz w:val="28"/>
          <w:szCs w:val="28"/>
          <w:lang w:val="en-US" w:eastAsia="zh-CN" w:bidi="ar-SA"/>
        </w:rPr>
        <w:t>2.4 采购意向公开退回修改</w:t>
      </w:r>
      <w:bookmarkEnd w:id="31"/>
    </w:p>
    <w:p w14:paraId="63735EF0">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项目负责人进入“采购意向公开—采购意向公开退回”菜单或在首页点击“采购意向数据公开退回</w:t>
      </w:r>
      <w:r>
        <w:rPr>
          <w:rFonts w:hint="eastAsia" w:ascii="华文中宋" w:hAnsi="华文中宋" w:eastAsia="华文中宋" w:cs="华文中宋"/>
          <w:kern w:val="2"/>
          <w:sz w:val="21"/>
          <w:szCs w:val="21"/>
          <w:lang w:val="en-US" w:eastAsia="zh-CN" w:bidi="ar-SA"/>
        </w:rPr>
        <w:t>，请修改</w:t>
      </w:r>
      <w:r>
        <w:rPr>
          <w:rFonts w:hint="eastAsia" w:ascii="华文中宋" w:hAnsi="华文中宋" w:eastAsia="华文中宋" w:cs="华文中宋"/>
          <w:kern w:val="2"/>
          <w:sz w:val="24"/>
          <w:szCs w:val="22"/>
          <w:lang w:val="en-US" w:eastAsia="zh-CN" w:bidi="ar-SA"/>
        </w:rPr>
        <w:t>”待办事项，进入采购意向公开数据退回页面。</w:t>
      </w:r>
    </w:p>
    <w:p w14:paraId="2FEAB715">
      <w:pPr>
        <w:keepNext w:val="0"/>
        <w:keepLines w:val="0"/>
        <w:pageBreakBefore w:val="0"/>
        <w:widowControl w:val="0"/>
        <w:kinsoku/>
        <w:wordWrap/>
        <w:overflowPunct/>
        <w:topLinePunct w:val="0"/>
        <w:autoSpaceDE/>
        <w:autoSpaceDN/>
        <w:bidi w:val="0"/>
        <w:adjustRightInd/>
        <w:snapToGrid/>
        <w:ind w:firstLine="0" w:firstLineChars="0"/>
        <w:textAlignment w:val="auto"/>
        <w:outlineLvl w:val="9"/>
      </w:pPr>
      <w:r>
        <w:drawing>
          <wp:inline distT="0" distB="0" distL="114300" distR="114300">
            <wp:extent cx="5266690" cy="2520950"/>
            <wp:effectExtent l="0" t="0" r="10160" b="1270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4"/>
                    <a:stretch>
                      <a:fillRect/>
                    </a:stretch>
                  </pic:blipFill>
                  <pic:spPr>
                    <a:xfrm>
                      <a:off x="0" y="0"/>
                      <a:ext cx="5266690" cy="2520950"/>
                    </a:xfrm>
                    <a:prstGeom prst="rect">
                      <a:avLst/>
                    </a:prstGeom>
                    <a:noFill/>
                    <a:ln>
                      <a:noFill/>
                    </a:ln>
                  </pic:spPr>
                </pic:pic>
              </a:graphicData>
            </a:graphic>
          </wp:inline>
        </w:drawing>
      </w:r>
    </w:p>
    <w:p w14:paraId="087D55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点击【修改并提交公开】按钮进入信息修改页面，可以查看到退回原因，可以对意向公开项目信息进行修改，修改完成后点击【保存并提交公开】按钮，将数据提交至招标办。</w:t>
      </w:r>
    </w:p>
    <w:p w14:paraId="44807DE1">
      <w:pPr>
        <w:keepNext w:val="0"/>
        <w:keepLines w:val="0"/>
        <w:pageBreakBefore w:val="0"/>
        <w:widowControl w:val="0"/>
        <w:kinsoku/>
        <w:wordWrap/>
        <w:overflowPunct/>
        <w:topLinePunct w:val="0"/>
        <w:autoSpaceDE/>
        <w:autoSpaceDN/>
        <w:bidi w:val="0"/>
        <w:adjustRightInd/>
        <w:snapToGrid/>
        <w:ind w:firstLine="0" w:firstLineChars="0"/>
        <w:textAlignment w:val="auto"/>
        <w:outlineLvl w:val="9"/>
      </w:pPr>
      <w:r>
        <w:drawing>
          <wp:inline distT="0" distB="0" distL="114300" distR="114300">
            <wp:extent cx="5266690" cy="2520950"/>
            <wp:effectExtent l="0" t="0" r="10160" b="1270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5"/>
                    <a:stretch>
                      <a:fillRect/>
                    </a:stretch>
                  </pic:blipFill>
                  <pic:spPr>
                    <a:xfrm>
                      <a:off x="0" y="0"/>
                      <a:ext cx="5266690" cy="2520950"/>
                    </a:xfrm>
                    <a:prstGeom prst="rect">
                      <a:avLst/>
                    </a:prstGeom>
                    <a:noFill/>
                    <a:ln>
                      <a:noFill/>
                    </a:ln>
                  </pic:spPr>
                </pic:pic>
              </a:graphicData>
            </a:graphic>
          </wp:inline>
        </w:drawing>
      </w:r>
    </w:p>
    <w:p w14:paraId="37D61676">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黑体" w:hAnsi="黑体" w:eastAsia="黑体" w:cs="黑体"/>
          <w:b/>
          <w:bCs/>
          <w:sz w:val="28"/>
          <w:szCs w:val="28"/>
          <w:lang w:val="en-US" w:eastAsia="zh-CN"/>
        </w:rPr>
      </w:pPr>
      <w:r>
        <w:drawing>
          <wp:inline distT="0" distB="0" distL="114300" distR="114300">
            <wp:extent cx="5266690" cy="2520950"/>
            <wp:effectExtent l="0" t="0" r="10160" b="1270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6"/>
                    <a:stretch>
                      <a:fillRect/>
                    </a:stretch>
                  </pic:blipFill>
                  <pic:spPr>
                    <a:xfrm>
                      <a:off x="0" y="0"/>
                      <a:ext cx="5266690" cy="2520950"/>
                    </a:xfrm>
                    <a:prstGeom prst="rect">
                      <a:avLst/>
                    </a:prstGeom>
                    <a:noFill/>
                    <a:ln>
                      <a:noFill/>
                    </a:ln>
                  </pic:spPr>
                </pic:pic>
              </a:graphicData>
            </a:graphic>
          </wp:inline>
        </w:drawing>
      </w:r>
    </w:p>
    <w:p w14:paraId="3FF9241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华文中宋" w:hAnsi="华文中宋" w:eastAsia="华文中宋" w:cs="华文中宋"/>
          <w:b/>
          <w:bCs/>
          <w:kern w:val="2"/>
          <w:sz w:val="28"/>
          <w:szCs w:val="28"/>
          <w:lang w:val="en-US" w:eastAsia="zh-CN" w:bidi="ar-SA"/>
        </w:rPr>
      </w:pPr>
      <w:bookmarkStart w:id="32" w:name="_Toc285"/>
      <w:r>
        <w:rPr>
          <w:rFonts w:hint="eastAsia" w:ascii="华文中宋" w:hAnsi="华文中宋" w:eastAsia="华文中宋" w:cs="华文中宋"/>
          <w:b/>
          <w:bCs/>
          <w:kern w:val="2"/>
          <w:sz w:val="28"/>
          <w:szCs w:val="28"/>
          <w:lang w:val="en-US" w:eastAsia="zh-CN" w:bidi="ar-SA"/>
        </w:rPr>
        <w:t>3.采购申请</w:t>
      </w:r>
      <w:bookmarkEnd w:id="32"/>
    </w:p>
    <w:p w14:paraId="02956E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黑体" w:hAnsi="黑体" w:eastAsia="黑体" w:cs="黑体"/>
          <w:b/>
          <w:bCs/>
          <w:sz w:val="28"/>
          <w:szCs w:val="28"/>
          <w:lang w:val="en-US" w:eastAsia="zh-CN"/>
        </w:rPr>
      </w:pPr>
      <w:r>
        <w:rPr>
          <w:rFonts w:hint="eastAsia" w:ascii="宋体" w:hAnsi="Times New Roman" w:eastAsia="宋体" w:cs="Times New Roman"/>
          <w:kern w:val="2"/>
          <w:sz w:val="24"/>
          <w:szCs w:val="22"/>
          <w:lang w:val="en-US" w:eastAsia="zh-CN" w:bidi="ar-SA"/>
        </w:rPr>
        <w:t>①所有采购申请的项目都需先关联审批通过的年度计划，才能进入采购项目申请环节。</w:t>
      </w:r>
    </w:p>
    <w:p w14:paraId="28009A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②政府采购限额以上的项目，采购意向上网公开后才能才能进入采购项目申请环节。</w:t>
      </w:r>
    </w:p>
    <w:p w14:paraId="55BB750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kern w:val="2"/>
          <w:sz w:val="28"/>
          <w:szCs w:val="28"/>
          <w:lang w:val="en-US" w:eastAsia="zh-CN" w:bidi="ar-SA"/>
        </w:rPr>
      </w:pPr>
      <w:bookmarkStart w:id="33" w:name="_Toc19868"/>
      <w:r>
        <w:rPr>
          <w:rFonts w:hint="eastAsia" w:ascii="华文中宋" w:hAnsi="华文中宋" w:eastAsia="华文中宋" w:cs="华文中宋"/>
          <w:kern w:val="2"/>
          <w:sz w:val="28"/>
          <w:szCs w:val="28"/>
          <w:lang w:val="en-US" w:eastAsia="zh-CN" w:bidi="ar-SA"/>
        </w:rPr>
        <w:t>3.1 采购项目申请</w:t>
      </w:r>
      <w:bookmarkEnd w:id="33"/>
    </w:p>
    <w:p w14:paraId="4E0C96F7">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项目负责人进入“采购申请—采购项目申请”菜单或在首页点击“我要发起工作-采购项目申请”入口。采购申请分为两个入口：（1）政府限额以上项目：点击【省管项目】政府限额以上申请入口。是需要进行意向公开的。</w:t>
      </w:r>
    </w:p>
    <w:p w14:paraId="6671CA40">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20950"/>
            <wp:effectExtent l="0" t="0" r="10160" b="1270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37"/>
                    <a:stretch>
                      <a:fillRect/>
                    </a:stretch>
                  </pic:blipFill>
                  <pic:spPr>
                    <a:xfrm>
                      <a:off x="0" y="0"/>
                      <a:ext cx="5266690" cy="2520950"/>
                    </a:xfrm>
                    <a:prstGeom prst="rect">
                      <a:avLst/>
                    </a:prstGeom>
                    <a:noFill/>
                    <a:ln>
                      <a:noFill/>
                    </a:ln>
                  </pic:spPr>
                </pic:pic>
              </a:graphicData>
            </a:graphic>
          </wp:inline>
        </w:drawing>
      </w:r>
    </w:p>
    <w:p w14:paraId="0EDD0F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选择需要关联的年度预算并已采购意向公开的数据，点击【确定】按钮，进入采购项目申请页面。</w:t>
      </w:r>
    </w:p>
    <w:p w14:paraId="60246F5A">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5420" cy="2229485"/>
            <wp:effectExtent l="0" t="0" r="5080" b="571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38"/>
                    <a:stretch>
                      <a:fillRect/>
                    </a:stretch>
                  </pic:blipFill>
                  <pic:spPr>
                    <a:xfrm>
                      <a:off x="0" y="0"/>
                      <a:ext cx="5265420" cy="2229485"/>
                    </a:xfrm>
                    <a:prstGeom prst="rect">
                      <a:avLst/>
                    </a:prstGeom>
                    <a:noFill/>
                    <a:ln>
                      <a:noFill/>
                    </a:ln>
                  </pic:spPr>
                </pic:pic>
              </a:graphicData>
            </a:graphic>
          </wp:inline>
        </w:drawing>
      </w:r>
    </w:p>
    <w:p w14:paraId="5B26ACF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lang w:val="en-US"/>
        </w:rPr>
      </w:pPr>
      <w:r>
        <w:rPr>
          <w:rFonts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2</w:t>
      </w:r>
      <w:r>
        <w:rPr>
          <w:rFonts w:asciiTheme="minorHAnsi" w:hAnsiTheme="minorHAnsi" w:eastAsiaTheme="minorEastAsia" w:cstheme="minorBidi"/>
          <w:kern w:val="2"/>
          <w:sz w:val="21"/>
          <w:szCs w:val="24"/>
          <w:lang w:val="en-US" w:eastAsia="zh-CN" w:bidi="ar-SA"/>
        </w:rPr>
        <w:t>）</w:t>
      </w:r>
      <w:r>
        <w:rPr>
          <w:rFonts w:hint="eastAsia" w:ascii="华文中宋" w:hAnsi="华文中宋" w:eastAsia="华文中宋" w:cs="华文中宋"/>
          <w:kern w:val="2"/>
          <w:sz w:val="24"/>
          <w:szCs w:val="22"/>
          <w:lang w:val="en-US" w:eastAsia="zh-CN" w:bidi="ar-SA"/>
        </w:rPr>
        <w:t>政府限额以下项目：点击【校管项目】政府限额以下申请入口。直接进入到采购项目申请信息填写页面。</w:t>
      </w:r>
    </w:p>
    <w:p w14:paraId="3C0BDA4E">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20950"/>
            <wp:effectExtent l="0" t="0" r="10160" b="1270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9"/>
                    <a:stretch>
                      <a:fillRect/>
                    </a:stretch>
                  </pic:blipFill>
                  <pic:spPr>
                    <a:xfrm>
                      <a:off x="0" y="0"/>
                      <a:ext cx="5266690" cy="2520950"/>
                    </a:xfrm>
                    <a:prstGeom prst="rect">
                      <a:avLst/>
                    </a:prstGeom>
                    <a:noFill/>
                    <a:ln>
                      <a:noFill/>
                    </a:ln>
                  </pic:spPr>
                </pic:pic>
              </a:graphicData>
            </a:graphic>
          </wp:inline>
        </w:drawing>
      </w:r>
    </w:p>
    <w:p w14:paraId="7C3743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color w:val="FF0000"/>
          <w:kern w:val="2"/>
          <w:sz w:val="24"/>
          <w:szCs w:val="22"/>
          <w:lang w:val="en-US" w:eastAsia="zh-CN" w:bidi="ar-SA"/>
        </w:rPr>
      </w:pPr>
      <w:r>
        <w:rPr>
          <w:rFonts w:hint="eastAsia" w:ascii="宋体" w:hAnsi="Times New Roman" w:eastAsia="宋体" w:cs="Times New Roman"/>
          <w:kern w:val="2"/>
          <w:sz w:val="24"/>
          <w:szCs w:val="22"/>
          <w:lang w:val="en-US" w:eastAsia="zh-CN" w:bidi="ar-SA"/>
        </w:rPr>
        <w:t>主要分为三个板块：①项目信息填写、②项目附件上传</w:t>
      </w:r>
      <w:r>
        <w:rPr>
          <w:rFonts w:hint="eastAsia" w:ascii="宋体" w:hAnsi="Times New Roman" w:eastAsia="宋体" w:cs="Times New Roman"/>
          <w:color w:val="FF0000"/>
          <w:kern w:val="2"/>
          <w:sz w:val="24"/>
          <w:szCs w:val="22"/>
          <w:lang w:val="en-US" w:eastAsia="zh-CN" w:bidi="ar-SA"/>
        </w:rPr>
        <w:t>（注：带有红色“*”为必填项）</w:t>
      </w:r>
    </w:p>
    <w:p w14:paraId="2129F5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Times New Roman" w:eastAsia="宋体" w:cs="Times New Roman"/>
          <w:color w:val="FF0000"/>
          <w:kern w:val="2"/>
          <w:sz w:val="24"/>
          <w:szCs w:val="22"/>
          <w:lang w:val="en-US" w:eastAsia="zh-CN" w:bidi="ar-SA"/>
        </w:rPr>
      </w:pPr>
    </w:p>
    <w:p w14:paraId="11C2A7F7">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3515" cy="2295525"/>
            <wp:effectExtent l="9525" t="9525" r="22860" b="1905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40"/>
                    <a:stretch>
                      <a:fillRect/>
                    </a:stretch>
                  </pic:blipFill>
                  <pic:spPr>
                    <a:xfrm>
                      <a:off x="0" y="0"/>
                      <a:ext cx="5263515" cy="2295525"/>
                    </a:xfrm>
                    <a:prstGeom prst="rect">
                      <a:avLst/>
                    </a:prstGeom>
                    <a:noFill/>
                    <a:ln>
                      <a:solidFill>
                        <a:schemeClr val="bg1">
                          <a:lumMod val="85000"/>
                        </a:schemeClr>
                      </a:solidFill>
                    </a:ln>
                  </pic:spPr>
                </pic:pic>
              </a:graphicData>
            </a:graphic>
          </wp:inline>
        </w:drawing>
      </w:r>
    </w:p>
    <w:p w14:paraId="7B83694E">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rPr>
          <w:rFonts w:hint="eastAsia" w:ascii="宋体" w:hAnsi="Times New Roman" w:eastAsia="宋体" w:cs="Times New Roman"/>
          <w:kern w:val="2"/>
          <w:sz w:val="24"/>
          <w:szCs w:val="22"/>
          <w:lang w:val="en-US" w:eastAsia="zh-CN" w:bidi="ar-SA"/>
        </w:rPr>
        <w:t>②项目附件上传</w:t>
      </w:r>
      <w:r>
        <w:rPr>
          <w:rFonts w:hint="eastAsia" w:ascii="宋体" w:hAnsi="Times New Roman" w:eastAsia="宋体" w:cs="Times New Roman"/>
          <w:color w:val="FF0000"/>
          <w:kern w:val="2"/>
          <w:sz w:val="24"/>
          <w:szCs w:val="22"/>
          <w:lang w:val="en-US" w:eastAsia="zh-CN" w:bidi="ar-SA"/>
        </w:rPr>
        <w:t>（注：带有红色“*”为必传项）</w:t>
      </w:r>
    </w:p>
    <w:p w14:paraId="085D7F3B">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20950"/>
            <wp:effectExtent l="0" t="0" r="10160" b="1270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1"/>
                    <a:stretch>
                      <a:fillRect/>
                    </a:stretch>
                  </pic:blipFill>
                  <pic:spPr>
                    <a:xfrm>
                      <a:off x="0" y="0"/>
                      <a:ext cx="5266690" cy="2520950"/>
                    </a:xfrm>
                    <a:prstGeom prst="rect">
                      <a:avLst/>
                    </a:prstGeom>
                    <a:noFill/>
                    <a:ln>
                      <a:noFill/>
                    </a:ln>
                  </pic:spPr>
                </pic:pic>
              </a:graphicData>
            </a:graphic>
          </wp:inline>
        </w:drawing>
      </w:r>
    </w:p>
    <w:p w14:paraId="01D25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Times New Roman" w:eastAsia="宋体" w:cs="Times New Roman"/>
          <w:kern w:val="2"/>
          <w:sz w:val="24"/>
          <w:szCs w:val="22"/>
          <w:lang w:val="en-US" w:eastAsia="zh-CN" w:bidi="ar-SA"/>
        </w:rPr>
      </w:pPr>
      <w:r>
        <w:rPr>
          <w:rFonts w:hint="eastAsia" w:ascii="宋体" w:hAnsi="Times New Roman" w:eastAsia="宋体" w:cs="Times New Roman"/>
          <w:kern w:val="2"/>
          <w:sz w:val="24"/>
          <w:szCs w:val="22"/>
          <w:lang w:val="en-US" w:eastAsia="zh-CN" w:bidi="ar-SA"/>
        </w:rPr>
        <w:t>确认信息无误，再点击【保存并送审】按钮，进入审批流程配置页面。请确认审批人员，如需调整，请点击加号图标，选择相应的审批人，点击【确定】按钮。所有审批人确认无误后，点击【确定并送审】按钮。</w:t>
      </w:r>
    </w:p>
    <w:p w14:paraId="0331AF5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黑体"/>
          <w:b w:val="0"/>
          <w:bCs w:val="0"/>
          <w:sz w:val="24"/>
          <w:szCs w:val="24"/>
          <w:lang w:val="en-US" w:eastAsia="zh-CN"/>
        </w:rPr>
      </w:pPr>
      <w:r>
        <w:drawing>
          <wp:inline distT="0" distB="0" distL="114300" distR="114300">
            <wp:extent cx="5273675" cy="2526665"/>
            <wp:effectExtent l="0" t="0" r="3175" b="698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42"/>
                    <a:stretch>
                      <a:fillRect/>
                    </a:stretch>
                  </pic:blipFill>
                  <pic:spPr>
                    <a:xfrm>
                      <a:off x="0" y="0"/>
                      <a:ext cx="5273675" cy="2526665"/>
                    </a:xfrm>
                    <a:prstGeom prst="rect">
                      <a:avLst/>
                    </a:prstGeom>
                    <a:noFill/>
                    <a:ln>
                      <a:noFill/>
                    </a:ln>
                  </pic:spPr>
                </pic:pic>
              </a:graphicData>
            </a:graphic>
          </wp:inline>
        </w:drawing>
      </w:r>
    </w:p>
    <w:p w14:paraId="5616EC2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华文中宋" w:hAnsi="华文中宋" w:eastAsia="华文中宋" w:cs="华文中宋"/>
          <w:kern w:val="2"/>
          <w:sz w:val="28"/>
          <w:szCs w:val="28"/>
          <w:lang w:val="en-US" w:eastAsia="zh-CN" w:bidi="ar-SA"/>
        </w:rPr>
      </w:pPr>
      <w:bookmarkStart w:id="34" w:name="_Toc27551"/>
      <w:r>
        <w:rPr>
          <w:rFonts w:hint="eastAsia" w:ascii="华文中宋" w:hAnsi="华文中宋" w:eastAsia="华文中宋" w:cs="华文中宋"/>
          <w:kern w:val="2"/>
          <w:sz w:val="28"/>
          <w:szCs w:val="28"/>
          <w:lang w:val="en-US" w:eastAsia="zh-CN" w:bidi="ar-SA"/>
        </w:rPr>
        <w:t>3.2 采购项目确认</w:t>
      </w:r>
      <w:bookmarkEnd w:id="34"/>
    </w:p>
    <w:p w14:paraId="52178D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审批人进入“采购申请—采购项目审批”菜单或在首页待办事项中点击具体项目名称，进入采购项目审批页面。</w:t>
      </w:r>
    </w:p>
    <w:p w14:paraId="0A088D65">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inline distT="0" distB="0" distL="114300" distR="114300">
            <wp:extent cx="5266690" cy="2520950"/>
            <wp:effectExtent l="0" t="0" r="10160" b="1270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3"/>
                    <a:stretch>
                      <a:fillRect/>
                    </a:stretch>
                  </pic:blipFill>
                  <pic:spPr>
                    <a:xfrm>
                      <a:off x="0" y="0"/>
                      <a:ext cx="5266690" cy="2520950"/>
                    </a:xfrm>
                    <a:prstGeom prst="rect">
                      <a:avLst/>
                    </a:prstGeom>
                    <a:noFill/>
                    <a:ln>
                      <a:noFill/>
                    </a:ln>
                  </pic:spPr>
                </pic:pic>
              </a:graphicData>
            </a:graphic>
          </wp:inline>
        </w:drawing>
      </w:r>
    </w:p>
    <w:p w14:paraId="351E6F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填写审批意见，不同意请点击【退回】按钮，退回至项目负责人修改后再次送审。同意请点击【通过】按钮，采购项目确认就已完成。如果需要发送给本部门的其他人员进行审批，请点击【转审】按钮。</w:t>
      </w:r>
    </w:p>
    <w:p w14:paraId="288F269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华文中宋" w:hAnsi="华文中宋" w:eastAsia="华文中宋" w:cs="华文中宋"/>
          <w:b/>
          <w:bCs/>
          <w:kern w:val="2"/>
          <w:sz w:val="28"/>
          <w:szCs w:val="28"/>
          <w:lang w:val="en-US" w:eastAsia="zh-CN" w:bidi="ar-SA"/>
        </w:rPr>
      </w:pPr>
      <w:r>
        <w:drawing>
          <wp:inline distT="0" distB="0" distL="114300" distR="114300">
            <wp:extent cx="5266690" cy="2520950"/>
            <wp:effectExtent l="0" t="0" r="10160" b="1270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44"/>
                    <a:stretch>
                      <a:fillRect/>
                    </a:stretch>
                  </pic:blipFill>
                  <pic:spPr>
                    <a:xfrm>
                      <a:off x="0" y="0"/>
                      <a:ext cx="5266690" cy="2520950"/>
                    </a:xfrm>
                    <a:prstGeom prst="rect">
                      <a:avLst/>
                    </a:prstGeom>
                    <a:noFill/>
                    <a:ln>
                      <a:noFill/>
                    </a:ln>
                  </pic:spPr>
                </pic:pic>
              </a:graphicData>
            </a:graphic>
          </wp:inline>
        </w:drawing>
      </w:r>
    </w:p>
    <w:p w14:paraId="72675A5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华文中宋" w:hAnsi="华文中宋" w:eastAsia="华文中宋" w:cs="华文中宋"/>
          <w:b/>
          <w:bCs/>
          <w:kern w:val="2"/>
          <w:sz w:val="28"/>
          <w:szCs w:val="28"/>
          <w:lang w:val="en-US" w:eastAsia="zh-CN" w:bidi="ar-SA"/>
        </w:rPr>
      </w:pPr>
      <w:bookmarkStart w:id="35" w:name="_Toc20546"/>
      <w:r>
        <w:rPr>
          <w:rFonts w:hint="eastAsia" w:ascii="华文中宋" w:hAnsi="华文中宋" w:eastAsia="华文中宋" w:cs="华文中宋"/>
          <w:b/>
          <w:bCs/>
          <w:kern w:val="2"/>
          <w:sz w:val="28"/>
          <w:szCs w:val="28"/>
          <w:lang w:val="en-US" w:eastAsia="zh-CN" w:bidi="ar-SA"/>
        </w:rPr>
        <w:t>4.线下采购-委托</w:t>
      </w:r>
      <w:bookmarkEnd w:id="35"/>
    </w:p>
    <w:p w14:paraId="4AD60164">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项目部门自行采购的项目，采购方式确定为委托方式的，项目负责人进行线下自行采购。</w:t>
      </w:r>
    </w:p>
    <w:p w14:paraId="098D486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华文中宋" w:hAnsi="华文中宋" w:eastAsia="华文中宋" w:cs="华文中宋"/>
          <w:b/>
          <w:bCs/>
          <w:kern w:val="2"/>
          <w:sz w:val="28"/>
          <w:szCs w:val="28"/>
          <w:lang w:val="en-US" w:eastAsia="zh-CN" w:bidi="ar-SA"/>
        </w:rPr>
      </w:pPr>
      <w:bookmarkStart w:id="36" w:name="_Toc19134"/>
      <w:r>
        <w:rPr>
          <w:rFonts w:hint="eastAsia" w:ascii="华文中宋" w:hAnsi="华文中宋" w:eastAsia="华文中宋" w:cs="华文中宋"/>
          <w:b/>
          <w:bCs/>
          <w:kern w:val="2"/>
          <w:sz w:val="28"/>
          <w:szCs w:val="28"/>
          <w:lang w:val="en-US" w:eastAsia="zh-CN" w:bidi="ar-SA"/>
        </w:rPr>
        <w:t>5.成交结果备案</w:t>
      </w:r>
      <w:bookmarkEnd w:id="36"/>
    </w:p>
    <w:p w14:paraId="6F6CAEC7">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项目负责人进入“成交结果管理—成交结果备案”菜单或在首页点击具体项目名称，进入成交结果备案页面。</w:t>
      </w:r>
    </w:p>
    <w:p w14:paraId="19B5A45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pPr>
      <w:r>
        <w:drawing>
          <wp:inline distT="0" distB="0" distL="114300" distR="114300">
            <wp:extent cx="5266690" cy="2520950"/>
            <wp:effectExtent l="0" t="0" r="10160"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5"/>
                    <a:stretch>
                      <a:fillRect/>
                    </a:stretch>
                  </pic:blipFill>
                  <pic:spPr>
                    <a:xfrm>
                      <a:off x="0" y="0"/>
                      <a:ext cx="5266690" cy="2520950"/>
                    </a:xfrm>
                    <a:prstGeom prst="rect">
                      <a:avLst/>
                    </a:prstGeom>
                    <a:noFill/>
                    <a:ln>
                      <a:noFill/>
                    </a:ln>
                  </pic:spPr>
                </pic:pic>
              </a:graphicData>
            </a:graphic>
          </wp:inline>
        </w:drawing>
      </w:r>
    </w:p>
    <w:p w14:paraId="1DBCF79F">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default" w:ascii="华文中宋" w:hAnsi="华文中宋" w:eastAsia="华文中宋" w:cs="华文中宋"/>
          <w:kern w:val="2"/>
          <w:sz w:val="24"/>
          <w:szCs w:val="22"/>
          <w:lang w:val="en-US" w:eastAsia="zh-CN" w:bidi="ar-SA"/>
        </w:rPr>
      </w:pPr>
      <w:r>
        <w:rPr>
          <w:rFonts w:hint="eastAsia" w:ascii="华文中宋" w:hAnsi="华文中宋" w:eastAsia="华文中宋" w:cs="华文中宋"/>
          <w:kern w:val="2"/>
          <w:sz w:val="24"/>
          <w:szCs w:val="22"/>
          <w:lang w:val="en-US" w:eastAsia="zh-CN" w:bidi="ar-SA"/>
        </w:rPr>
        <w:t>如项目有多个包，可点击【点点我、新增包】按钮可录入多个包。根据项目的中标结果录入“供应商名称”、“报价或折扣率”、“选择是否中标”。电子卖场项目可补充合同备案信息。信息填写完成后，点击【确认】按钮即可完成成交结果备案。</w:t>
      </w:r>
    </w:p>
    <w:p w14:paraId="17C7511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pPr>
      <w:r>
        <w:drawing>
          <wp:inline distT="0" distB="0" distL="114300" distR="114300">
            <wp:extent cx="5266690" cy="2520950"/>
            <wp:effectExtent l="0" t="0" r="1016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6"/>
                    <a:stretch>
                      <a:fillRect/>
                    </a:stretch>
                  </pic:blipFill>
                  <pic:spPr>
                    <a:xfrm>
                      <a:off x="0" y="0"/>
                      <a:ext cx="5266690" cy="2520950"/>
                    </a:xfrm>
                    <a:prstGeom prst="rect">
                      <a:avLst/>
                    </a:prstGeom>
                    <a:noFill/>
                    <a:ln>
                      <a:noFill/>
                    </a:ln>
                  </pic:spPr>
                </pic:pic>
              </a:graphicData>
            </a:graphic>
          </wp:inline>
        </w:drawing>
      </w:r>
    </w:p>
    <w:p w14:paraId="7DAEB12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华文中宋" w:hAnsi="华文中宋" w:eastAsia="华文中宋" w:cs="华文中宋"/>
          <w:b/>
          <w:bCs/>
          <w:kern w:val="2"/>
          <w:sz w:val="28"/>
          <w:szCs w:val="28"/>
          <w:lang w:val="en-US" w:eastAsia="zh-CN" w:bidi="ar-SA"/>
        </w:rPr>
      </w:pPr>
      <w:bookmarkStart w:id="37" w:name="_Toc29901"/>
      <w:r>
        <w:rPr>
          <w:rFonts w:hint="eastAsia" w:ascii="华文中宋" w:hAnsi="华文中宋" w:eastAsia="华文中宋" w:cs="华文中宋"/>
          <w:b/>
          <w:bCs/>
          <w:kern w:val="2"/>
          <w:sz w:val="28"/>
          <w:szCs w:val="28"/>
          <w:lang w:val="en-US" w:eastAsia="zh-CN" w:bidi="ar-SA"/>
        </w:rPr>
        <w:t>6.合同归档</w:t>
      </w:r>
      <w:bookmarkEnd w:id="37"/>
    </w:p>
    <w:p w14:paraId="6F1DB11C">
      <w:pPr>
        <w:pStyle w:val="16"/>
        <w:keepNext w:val="0"/>
        <w:keepLines w:val="0"/>
        <w:pageBreakBefore w:val="0"/>
        <w:widowControl w:val="0"/>
        <w:kinsoku/>
        <w:wordWrap/>
        <w:overflowPunct/>
        <w:topLinePunct w:val="0"/>
        <w:autoSpaceDE/>
        <w:autoSpaceDN/>
        <w:bidi w:val="0"/>
        <w:adjustRightInd w:val="0"/>
        <w:snapToGrid w:val="0"/>
        <w:spacing w:before="93" w:line="360" w:lineRule="auto"/>
        <w:ind w:firstLine="420"/>
        <w:textAlignment w:val="auto"/>
        <w:rPr>
          <w:rFonts w:hint="eastAsia" w:ascii="华文宋体" w:hAnsi="华文宋体" w:eastAsia="华文宋体" w:cs="华文宋体"/>
          <w:kern w:val="2"/>
          <w:sz w:val="24"/>
          <w:szCs w:val="24"/>
          <w:lang w:val="en-US" w:eastAsia="zh-CN" w:bidi="ar-SA"/>
        </w:rPr>
      </w:pPr>
      <w:r>
        <w:rPr>
          <w:rFonts w:hint="eastAsia" w:ascii="华文宋体" w:hAnsi="华文宋体" w:eastAsia="华文宋体" w:cs="华文宋体"/>
          <w:kern w:val="2"/>
          <w:sz w:val="24"/>
          <w:szCs w:val="24"/>
          <w:lang w:val="en-US" w:eastAsia="zh-CN" w:bidi="ar-SA"/>
        </w:rPr>
        <w:t>项目负责人进入“合同管理—合同归档”菜单或在首页点击“您有采购项目待合同签订及上传归档”，进入合同归档页面。</w:t>
      </w:r>
    </w:p>
    <w:p w14:paraId="7248115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pPr>
      <w:r>
        <w:drawing>
          <wp:inline distT="0" distB="0" distL="114300" distR="114300">
            <wp:extent cx="5266690" cy="2520950"/>
            <wp:effectExtent l="0" t="0" r="1016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7"/>
                    <a:stretch>
                      <a:fillRect/>
                    </a:stretch>
                  </pic:blipFill>
                  <pic:spPr>
                    <a:xfrm>
                      <a:off x="0" y="0"/>
                      <a:ext cx="5266690" cy="2520950"/>
                    </a:xfrm>
                    <a:prstGeom prst="rect">
                      <a:avLst/>
                    </a:prstGeom>
                    <a:noFill/>
                    <a:ln>
                      <a:noFill/>
                    </a:ln>
                  </pic:spPr>
                </pic:pic>
              </a:graphicData>
            </a:graphic>
          </wp:inline>
        </w:drawing>
      </w:r>
    </w:p>
    <w:p w14:paraId="13BB47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华文宋体" w:hAnsi="华文宋体" w:eastAsia="华文宋体" w:cs="华文宋体"/>
          <w:kern w:val="2"/>
          <w:sz w:val="24"/>
          <w:szCs w:val="24"/>
          <w:lang w:val="en-US" w:eastAsia="zh-CN" w:bidi="ar-SA"/>
        </w:rPr>
      </w:pPr>
      <w:r>
        <w:rPr>
          <w:rFonts w:hint="eastAsia" w:ascii="华文宋体" w:hAnsi="华文宋体" w:eastAsia="华文宋体" w:cs="华文宋体"/>
          <w:kern w:val="2"/>
          <w:sz w:val="24"/>
          <w:szCs w:val="24"/>
          <w:lang w:val="en-US" w:eastAsia="zh-CN" w:bidi="ar-SA"/>
        </w:rPr>
        <w:t>完善合同基本情况，上传合同签字盖章PDF扫描件，确认信息无误，点击【发送至采购与招投标办公室归档确认】按钮，发送至采购人合同归档确认。</w:t>
      </w:r>
    </w:p>
    <w:p w14:paraId="6EFE6EA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pPr>
      <w:r>
        <w:drawing>
          <wp:inline distT="0" distB="0" distL="114300" distR="114300">
            <wp:extent cx="5272405" cy="2512060"/>
            <wp:effectExtent l="0" t="0" r="4445"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8"/>
                    <a:stretch>
                      <a:fillRect/>
                    </a:stretch>
                  </pic:blipFill>
                  <pic:spPr>
                    <a:xfrm>
                      <a:off x="0" y="0"/>
                      <a:ext cx="5272405" cy="2512060"/>
                    </a:xfrm>
                    <a:prstGeom prst="rect">
                      <a:avLst/>
                    </a:prstGeom>
                    <a:noFill/>
                    <a:ln>
                      <a:noFill/>
                    </a:ln>
                  </pic:spPr>
                </pic:pic>
              </a:graphicData>
            </a:graphic>
          </wp:inline>
        </w:drawing>
      </w:r>
    </w:p>
    <w:p w14:paraId="05FBB5C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pPr>
      <w:r>
        <w:drawing>
          <wp:inline distT="0" distB="0" distL="114300" distR="114300">
            <wp:extent cx="5264785" cy="1709420"/>
            <wp:effectExtent l="0" t="0" r="12065" b="508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9"/>
                    <a:stretch>
                      <a:fillRect/>
                    </a:stretch>
                  </pic:blipFill>
                  <pic:spPr>
                    <a:xfrm>
                      <a:off x="0" y="0"/>
                      <a:ext cx="5264785" cy="1709420"/>
                    </a:xfrm>
                    <a:prstGeom prst="rect">
                      <a:avLst/>
                    </a:prstGeom>
                    <a:noFill/>
                    <a:ln>
                      <a:noFill/>
                    </a:ln>
                  </pic:spPr>
                </pic:pic>
              </a:graphicData>
            </a:graphic>
          </wp:inline>
        </w:drawing>
      </w:r>
    </w:p>
    <w:p w14:paraId="1B3E297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BCAAB">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7A58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EC7A58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D616E">
    <w:pPr>
      <w:pStyle w:val="5"/>
      <w:pBdr>
        <w:bottom w:val="single" w:color="auto" w:sz="4" w:space="1"/>
      </w:pBdr>
      <w:jc w:val="lef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招投标管理系统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1MWZiYWFiODRjZGM5ZWFhNmMzY2Y4Y2Y5NTY5NjgifQ=="/>
  </w:docVars>
  <w:rsids>
    <w:rsidRoot w:val="00172A27"/>
    <w:rsid w:val="002C3F72"/>
    <w:rsid w:val="004049A6"/>
    <w:rsid w:val="004B48CF"/>
    <w:rsid w:val="007936A0"/>
    <w:rsid w:val="008A41A6"/>
    <w:rsid w:val="00B4725C"/>
    <w:rsid w:val="00D3210D"/>
    <w:rsid w:val="011A564D"/>
    <w:rsid w:val="012975A7"/>
    <w:rsid w:val="01355161"/>
    <w:rsid w:val="01447788"/>
    <w:rsid w:val="01753CE2"/>
    <w:rsid w:val="01940350"/>
    <w:rsid w:val="01B67D67"/>
    <w:rsid w:val="01D83837"/>
    <w:rsid w:val="02665FD7"/>
    <w:rsid w:val="0278616C"/>
    <w:rsid w:val="02B32C29"/>
    <w:rsid w:val="02B70AD6"/>
    <w:rsid w:val="02F31B0D"/>
    <w:rsid w:val="02F5495D"/>
    <w:rsid w:val="03C35F8F"/>
    <w:rsid w:val="03CF3620"/>
    <w:rsid w:val="03D73A2C"/>
    <w:rsid w:val="03DF3AB8"/>
    <w:rsid w:val="04077C57"/>
    <w:rsid w:val="042A7DF8"/>
    <w:rsid w:val="043A273E"/>
    <w:rsid w:val="0440298B"/>
    <w:rsid w:val="04437B14"/>
    <w:rsid w:val="048D5DEF"/>
    <w:rsid w:val="04DA0918"/>
    <w:rsid w:val="04ED01BE"/>
    <w:rsid w:val="04F21E5C"/>
    <w:rsid w:val="04F70519"/>
    <w:rsid w:val="054E364F"/>
    <w:rsid w:val="05AC61D3"/>
    <w:rsid w:val="05C70CC8"/>
    <w:rsid w:val="05D72B28"/>
    <w:rsid w:val="05F219D9"/>
    <w:rsid w:val="06013C57"/>
    <w:rsid w:val="063E4C65"/>
    <w:rsid w:val="06592AEC"/>
    <w:rsid w:val="068918C6"/>
    <w:rsid w:val="06ED167F"/>
    <w:rsid w:val="06FE687A"/>
    <w:rsid w:val="07031BFD"/>
    <w:rsid w:val="07153703"/>
    <w:rsid w:val="071F6788"/>
    <w:rsid w:val="07375BAD"/>
    <w:rsid w:val="077914BA"/>
    <w:rsid w:val="07AD6D7B"/>
    <w:rsid w:val="08007AB4"/>
    <w:rsid w:val="08227941"/>
    <w:rsid w:val="082F24C8"/>
    <w:rsid w:val="083B791F"/>
    <w:rsid w:val="084E75A9"/>
    <w:rsid w:val="08744148"/>
    <w:rsid w:val="08806DF7"/>
    <w:rsid w:val="08813687"/>
    <w:rsid w:val="088B2A0B"/>
    <w:rsid w:val="08A2176F"/>
    <w:rsid w:val="08AA2EDB"/>
    <w:rsid w:val="08B0472A"/>
    <w:rsid w:val="08CD5A69"/>
    <w:rsid w:val="08D13F32"/>
    <w:rsid w:val="094329E4"/>
    <w:rsid w:val="09482E66"/>
    <w:rsid w:val="09631A49"/>
    <w:rsid w:val="0A04699F"/>
    <w:rsid w:val="0A071355"/>
    <w:rsid w:val="0A521117"/>
    <w:rsid w:val="0A706646"/>
    <w:rsid w:val="0A8E5565"/>
    <w:rsid w:val="0AD95A89"/>
    <w:rsid w:val="0AF60ED1"/>
    <w:rsid w:val="0B1360FB"/>
    <w:rsid w:val="0B4D43C9"/>
    <w:rsid w:val="0BB303DD"/>
    <w:rsid w:val="0BC743AD"/>
    <w:rsid w:val="0BD40B5A"/>
    <w:rsid w:val="0BD810E8"/>
    <w:rsid w:val="0BE539CE"/>
    <w:rsid w:val="0C1D1E10"/>
    <w:rsid w:val="0C423F21"/>
    <w:rsid w:val="0C4275BF"/>
    <w:rsid w:val="0C4A5A91"/>
    <w:rsid w:val="0C5361FA"/>
    <w:rsid w:val="0C5A3710"/>
    <w:rsid w:val="0C6E6CCF"/>
    <w:rsid w:val="0C7B7B47"/>
    <w:rsid w:val="0C842184"/>
    <w:rsid w:val="0C8D4026"/>
    <w:rsid w:val="0CB51D42"/>
    <w:rsid w:val="0CE82FB7"/>
    <w:rsid w:val="0D105AA4"/>
    <w:rsid w:val="0D512905"/>
    <w:rsid w:val="0D78484B"/>
    <w:rsid w:val="0D94509C"/>
    <w:rsid w:val="0DA767ED"/>
    <w:rsid w:val="0DBD7FF2"/>
    <w:rsid w:val="0DBE7E68"/>
    <w:rsid w:val="0DF04938"/>
    <w:rsid w:val="0E110EC1"/>
    <w:rsid w:val="0E1C160A"/>
    <w:rsid w:val="0E262A63"/>
    <w:rsid w:val="0E527135"/>
    <w:rsid w:val="0E683B7F"/>
    <w:rsid w:val="0E8A5825"/>
    <w:rsid w:val="0E9C3DF7"/>
    <w:rsid w:val="0ECF2BA9"/>
    <w:rsid w:val="0EDA526E"/>
    <w:rsid w:val="0F30253E"/>
    <w:rsid w:val="0F7207DE"/>
    <w:rsid w:val="0F805E73"/>
    <w:rsid w:val="0F8A7CF7"/>
    <w:rsid w:val="100F40DD"/>
    <w:rsid w:val="10111AE2"/>
    <w:rsid w:val="10120C2A"/>
    <w:rsid w:val="10414202"/>
    <w:rsid w:val="10520BD4"/>
    <w:rsid w:val="106F2E36"/>
    <w:rsid w:val="10781831"/>
    <w:rsid w:val="1081705B"/>
    <w:rsid w:val="108C4CC0"/>
    <w:rsid w:val="109D742A"/>
    <w:rsid w:val="10A05956"/>
    <w:rsid w:val="10B13BD2"/>
    <w:rsid w:val="10CA2E95"/>
    <w:rsid w:val="11030792"/>
    <w:rsid w:val="111A6ACD"/>
    <w:rsid w:val="11265E1C"/>
    <w:rsid w:val="116706F7"/>
    <w:rsid w:val="119947B0"/>
    <w:rsid w:val="11AF05BC"/>
    <w:rsid w:val="11C56E5B"/>
    <w:rsid w:val="11D854E0"/>
    <w:rsid w:val="120617A0"/>
    <w:rsid w:val="12066DE9"/>
    <w:rsid w:val="120E2B7C"/>
    <w:rsid w:val="129E1FB6"/>
    <w:rsid w:val="129F7B91"/>
    <w:rsid w:val="12A158FD"/>
    <w:rsid w:val="12BF1B0F"/>
    <w:rsid w:val="132F5FD5"/>
    <w:rsid w:val="136C535F"/>
    <w:rsid w:val="13B702BE"/>
    <w:rsid w:val="13B82879"/>
    <w:rsid w:val="13E33088"/>
    <w:rsid w:val="141D10FD"/>
    <w:rsid w:val="146F1DD9"/>
    <w:rsid w:val="14EE77A9"/>
    <w:rsid w:val="14F77A9A"/>
    <w:rsid w:val="153836FA"/>
    <w:rsid w:val="15B85F93"/>
    <w:rsid w:val="15D43B57"/>
    <w:rsid w:val="15D66ED9"/>
    <w:rsid w:val="160133BB"/>
    <w:rsid w:val="16222CB0"/>
    <w:rsid w:val="163009CA"/>
    <w:rsid w:val="164D0AD4"/>
    <w:rsid w:val="16553E9A"/>
    <w:rsid w:val="16693B44"/>
    <w:rsid w:val="167529A0"/>
    <w:rsid w:val="167F2CAD"/>
    <w:rsid w:val="169312BA"/>
    <w:rsid w:val="169508BC"/>
    <w:rsid w:val="16B20160"/>
    <w:rsid w:val="16C429D7"/>
    <w:rsid w:val="16F80F8A"/>
    <w:rsid w:val="17112BC3"/>
    <w:rsid w:val="17133394"/>
    <w:rsid w:val="17173948"/>
    <w:rsid w:val="17262EF2"/>
    <w:rsid w:val="17285883"/>
    <w:rsid w:val="17342D22"/>
    <w:rsid w:val="173719CA"/>
    <w:rsid w:val="17767A18"/>
    <w:rsid w:val="17B421AC"/>
    <w:rsid w:val="17D05227"/>
    <w:rsid w:val="17D06FC8"/>
    <w:rsid w:val="17E77C4E"/>
    <w:rsid w:val="17FD2A7E"/>
    <w:rsid w:val="18197FA7"/>
    <w:rsid w:val="184844E0"/>
    <w:rsid w:val="18556533"/>
    <w:rsid w:val="187F73B4"/>
    <w:rsid w:val="18B16D0B"/>
    <w:rsid w:val="18E71599"/>
    <w:rsid w:val="18F13E8A"/>
    <w:rsid w:val="19151AD5"/>
    <w:rsid w:val="191F46F3"/>
    <w:rsid w:val="19246315"/>
    <w:rsid w:val="192E07EA"/>
    <w:rsid w:val="193F055C"/>
    <w:rsid w:val="195A06FD"/>
    <w:rsid w:val="196B60A4"/>
    <w:rsid w:val="198A74BB"/>
    <w:rsid w:val="199E386A"/>
    <w:rsid w:val="19A906F2"/>
    <w:rsid w:val="19C34C4F"/>
    <w:rsid w:val="19C9013F"/>
    <w:rsid w:val="19C972F9"/>
    <w:rsid w:val="1A0A0E60"/>
    <w:rsid w:val="1A113339"/>
    <w:rsid w:val="1A135600"/>
    <w:rsid w:val="1A703458"/>
    <w:rsid w:val="1A7D0806"/>
    <w:rsid w:val="1A8F023E"/>
    <w:rsid w:val="1ABB1708"/>
    <w:rsid w:val="1AE04C0C"/>
    <w:rsid w:val="1B5238E3"/>
    <w:rsid w:val="1B6C4B07"/>
    <w:rsid w:val="1B717BA4"/>
    <w:rsid w:val="1B7359DE"/>
    <w:rsid w:val="1B76085F"/>
    <w:rsid w:val="1B872A58"/>
    <w:rsid w:val="1B91709C"/>
    <w:rsid w:val="1BB673B2"/>
    <w:rsid w:val="1BB97FE3"/>
    <w:rsid w:val="1C072504"/>
    <w:rsid w:val="1C254CBE"/>
    <w:rsid w:val="1C3D33F7"/>
    <w:rsid w:val="1C771FEE"/>
    <w:rsid w:val="1CBC47F0"/>
    <w:rsid w:val="1CBE5AA2"/>
    <w:rsid w:val="1CEF08D5"/>
    <w:rsid w:val="1D022859"/>
    <w:rsid w:val="1D1867DB"/>
    <w:rsid w:val="1D3D0DCE"/>
    <w:rsid w:val="1DC402DC"/>
    <w:rsid w:val="1DCE3FF8"/>
    <w:rsid w:val="1E126414"/>
    <w:rsid w:val="1E1859AB"/>
    <w:rsid w:val="1E396257"/>
    <w:rsid w:val="1E47693A"/>
    <w:rsid w:val="1E82084C"/>
    <w:rsid w:val="1E86489E"/>
    <w:rsid w:val="1E8F526F"/>
    <w:rsid w:val="1EA970C5"/>
    <w:rsid w:val="1ED7235F"/>
    <w:rsid w:val="1ED82C9A"/>
    <w:rsid w:val="1F6F4BEF"/>
    <w:rsid w:val="1FB3384A"/>
    <w:rsid w:val="1FF76D9F"/>
    <w:rsid w:val="2002134E"/>
    <w:rsid w:val="20023470"/>
    <w:rsid w:val="20133001"/>
    <w:rsid w:val="208549FB"/>
    <w:rsid w:val="20880961"/>
    <w:rsid w:val="209638F8"/>
    <w:rsid w:val="20BB1D1E"/>
    <w:rsid w:val="20BC2042"/>
    <w:rsid w:val="20F507BC"/>
    <w:rsid w:val="210451E4"/>
    <w:rsid w:val="210F2448"/>
    <w:rsid w:val="216D719B"/>
    <w:rsid w:val="21725571"/>
    <w:rsid w:val="217813D1"/>
    <w:rsid w:val="219D56C7"/>
    <w:rsid w:val="21E91513"/>
    <w:rsid w:val="22012D35"/>
    <w:rsid w:val="2221098B"/>
    <w:rsid w:val="222B371E"/>
    <w:rsid w:val="22776099"/>
    <w:rsid w:val="228757C3"/>
    <w:rsid w:val="22973EDB"/>
    <w:rsid w:val="22CA6CAB"/>
    <w:rsid w:val="23265E53"/>
    <w:rsid w:val="232B11E5"/>
    <w:rsid w:val="23397F3C"/>
    <w:rsid w:val="238E4124"/>
    <w:rsid w:val="23AB093A"/>
    <w:rsid w:val="23FF3037"/>
    <w:rsid w:val="24217571"/>
    <w:rsid w:val="24586E47"/>
    <w:rsid w:val="246421F1"/>
    <w:rsid w:val="24685F1B"/>
    <w:rsid w:val="24816262"/>
    <w:rsid w:val="249766E0"/>
    <w:rsid w:val="24AF38DB"/>
    <w:rsid w:val="24E14C6D"/>
    <w:rsid w:val="24E2334D"/>
    <w:rsid w:val="24E60286"/>
    <w:rsid w:val="25146EA0"/>
    <w:rsid w:val="252C15D2"/>
    <w:rsid w:val="25507ABE"/>
    <w:rsid w:val="25697BED"/>
    <w:rsid w:val="2597321F"/>
    <w:rsid w:val="25DF0AF1"/>
    <w:rsid w:val="25E16468"/>
    <w:rsid w:val="261E6634"/>
    <w:rsid w:val="263610EC"/>
    <w:rsid w:val="264137C8"/>
    <w:rsid w:val="269616EC"/>
    <w:rsid w:val="26ED7BDF"/>
    <w:rsid w:val="26F91A33"/>
    <w:rsid w:val="275B06E4"/>
    <w:rsid w:val="27CA041D"/>
    <w:rsid w:val="27DC212D"/>
    <w:rsid w:val="27DF226D"/>
    <w:rsid w:val="27DF44BD"/>
    <w:rsid w:val="2871121B"/>
    <w:rsid w:val="29113EC0"/>
    <w:rsid w:val="291246C9"/>
    <w:rsid w:val="29131A89"/>
    <w:rsid w:val="29284641"/>
    <w:rsid w:val="296C08E6"/>
    <w:rsid w:val="29885263"/>
    <w:rsid w:val="299D729A"/>
    <w:rsid w:val="29B378C3"/>
    <w:rsid w:val="29C439C6"/>
    <w:rsid w:val="29C964E7"/>
    <w:rsid w:val="29E0051E"/>
    <w:rsid w:val="2A3046FD"/>
    <w:rsid w:val="2A4B794A"/>
    <w:rsid w:val="2A882988"/>
    <w:rsid w:val="2AA6244A"/>
    <w:rsid w:val="2AF04E30"/>
    <w:rsid w:val="2B01189C"/>
    <w:rsid w:val="2B4F2404"/>
    <w:rsid w:val="2B855A86"/>
    <w:rsid w:val="2BEC105C"/>
    <w:rsid w:val="2C0E26B7"/>
    <w:rsid w:val="2C8F541F"/>
    <w:rsid w:val="2C8F5674"/>
    <w:rsid w:val="2C9C1A9F"/>
    <w:rsid w:val="2C9D3B5E"/>
    <w:rsid w:val="2CB1110B"/>
    <w:rsid w:val="2CE96AB8"/>
    <w:rsid w:val="2D193213"/>
    <w:rsid w:val="2D227D95"/>
    <w:rsid w:val="2D4E168A"/>
    <w:rsid w:val="2DBC254E"/>
    <w:rsid w:val="2DF36280"/>
    <w:rsid w:val="2DF4741C"/>
    <w:rsid w:val="2E3A2E8F"/>
    <w:rsid w:val="2E3F5532"/>
    <w:rsid w:val="2E47045D"/>
    <w:rsid w:val="2E6B0F84"/>
    <w:rsid w:val="2E9C562A"/>
    <w:rsid w:val="2EAF44CB"/>
    <w:rsid w:val="2EB40DC5"/>
    <w:rsid w:val="2EDE0631"/>
    <w:rsid w:val="2EFA339F"/>
    <w:rsid w:val="2F08126A"/>
    <w:rsid w:val="2F416F48"/>
    <w:rsid w:val="2F5609AC"/>
    <w:rsid w:val="2F885A6E"/>
    <w:rsid w:val="2FEB5807"/>
    <w:rsid w:val="3044573D"/>
    <w:rsid w:val="30622D9D"/>
    <w:rsid w:val="31175D55"/>
    <w:rsid w:val="31447BCA"/>
    <w:rsid w:val="31851A02"/>
    <w:rsid w:val="319438FB"/>
    <w:rsid w:val="3199113B"/>
    <w:rsid w:val="31A36367"/>
    <w:rsid w:val="31D0351C"/>
    <w:rsid w:val="32293020"/>
    <w:rsid w:val="322C096D"/>
    <w:rsid w:val="329E6973"/>
    <w:rsid w:val="32B32FBF"/>
    <w:rsid w:val="32E94049"/>
    <w:rsid w:val="32F1060B"/>
    <w:rsid w:val="33062E95"/>
    <w:rsid w:val="3351783D"/>
    <w:rsid w:val="33625D9D"/>
    <w:rsid w:val="33757DEE"/>
    <w:rsid w:val="33815A7D"/>
    <w:rsid w:val="33841835"/>
    <w:rsid w:val="345C216F"/>
    <w:rsid w:val="34652EC1"/>
    <w:rsid w:val="346707DA"/>
    <w:rsid w:val="348916B0"/>
    <w:rsid w:val="34A73291"/>
    <w:rsid w:val="34B45DC1"/>
    <w:rsid w:val="34D33BB3"/>
    <w:rsid w:val="34FB6D3F"/>
    <w:rsid w:val="35AA5801"/>
    <w:rsid w:val="35D722A6"/>
    <w:rsid w:val="35DA35FD"/>
    <w:rsid w:val="35E12D58"/>
    <w:rsid w:val="35E27B2B"/>
    <w:rsid w:val="360F7CD0"/>
    <w:rsid w:val="367832B9"/>
    <w:rsid w:val="367E466B"/>
    <w:rsid w:val="3687595A"/>
    <w:rsid w:val="369849ED"/>
    <w:rsid w:val="36E169F4"/>
    <w:rsid w:val="37672953"/>
    <w:rsid w:val="37771369"/>
    <w:rsid w:val="37D125DD"/>
    <w:rsid w:val="380B3CB0"/>
    <w:rsid w:val="38110D9B"/>
    <w:rsid w:val="38270896"/>
    <w:rsid w:val="38525CAA"/>
    <w:rsid w:val="38825A99"/>
    <w:rsid w:val="38885622"/>
    <w:rsid w:val="388C3AFD"/>
    <w:rsid w:val="38973AC3"/>
    <w:rsid w:val="38C94EB7"/>
    <w:rsid w:val="38DC4427"/>
    <w:rsid w:val="39080CE9"/>
    <w:rsid w:val="39454999"/>
    <w:rsid w:val="39811343"/>
    <w:rsid w:val="399B364D"/>
    <w:rsid w:val="39A27101"/>
    <w:rsid w:val="39D11B36"/>
    <w:rsid w:val="39D24884"/>
    <w:rsid w:val="39DF5264"/>
    <w:rsid w:val="39F33393"/>
    <w:rsid w:val="39FD61C2"/>
    <w:rsid w:val="3A2D55A1"/>
    <w:rsid w:val="3A364E18"/>
    <w:rsid w:val="3A3E0AB4"/>
    <w:rsid w:val="3A6B43AF"/>
    <w:rsid w:val="3A93224C"/>
    <w:rsid w:val="3AAC1FCA"/>
    <w:rsid w:val="3AD62D03"/>
    <w:rsid w:val="3B6074E9"/>
    <w:rsid w:val="3B8B1980"/>
    <w:rsid w:val="3BCE4327"/>
    <w:rsid w:val="3BD95480"/>
    <w:rsid w:val="3BF03AA3"/>
    <w:rsid w:val="3C00593C"/>
    <w:rsid w:val="3C1B290E"/>
    <w:rsid w:val="3C1B3281"/>
    <w:rsid w:val="3C1C4D96"/>
    <w:rsid w:val="3C2E11D6"/>
    <w:rsid w:val="3C3C118D"/>
    <w:rsid w:val="3C533729"/>
    <w:rsid w:val="3C546471"/>
    <w:rsid w:val="3C724B74"/>
    <w:rsid w:val="3CDE7A5A"/>
    <w:rsid w:val="3CE76EF9"/>
    <w:rsid w:val="3CF35ECA"/>
    <w:rsid w:val="3CF442FD"/>
    <w:rsid w:val="3CF83F0D"/>
    <w:rsid w:val="3CF917D2"/>
    <w:rsid w:val="3D440917"/>
    <w:rsid w:val="3D7F093D"/>
    <w:rsid w:val="3DB85804"/>
    <w:rsid w:val="3DC61D26"/>
    <w:rsid w:val="3DC7157A"/>
    <w:rsid w:val="3DD53A7C"/>
    <w:rsid w:val="3DFE4134"/>
    <w:rsid w:val="3E1F441C"/>
    <w:rsid w:val="3E204618"/>
    <w:rsid w:val="3E352C74"/>
    <w:rsid w:val="3E6830EB"/>
    <w:rsid w:val="3E892BB5"/>
    <w:rsid w:val="3E8D65D9"/>
    <w:rsid w:val="3E921086"/>
    <w:rsid w:val="3EB6748B"/>
    <w:rsid w:val="3EEC3429"/>
    <w:rsid w:val="3F4E6DDA"/>
    <w:rsid w:val="3F4F1E23"/>
    <w:rsid w:val="3F682979"/>
    <w:rsid w:val="3F850EA5"/>
    <w:rsid w:val="3F95485A"/>
    <w:rsid w:val="3FB470B2"/>
    <w:rsid w:val="3FCB462C"/>
    <w:rsid w:val="3FDC5B01"/>
    <w:rsid w:val="409F746E"/>
    <w:rsid w:val="40E868EE"/>
    <w:rsid w:val="40FD48B3"/>
    <w:rsid w:val="413C3A89"/>
    <w:rsid w:val="4142139B"/>
    <w:rsid w:val="41437684"/>
    <w:rsid w:val="414D5DCE"/>
    <w:rsid w:val="416D3C8F"/>
    <w:rsid w:val="417A4CA6"/>
    <w:rsid w:val="41E848CC"/>
    <w:rsid w:val="42120C77"/>
    <w:rsid w:val="421502BE"/>
    <w:rsid w:val="42410BFD"/>
    <w:rsid w:val="4251495B"/>
    <w:rsid w:val="425F670B"/>
    <w:rsid w:val="42663882"/>
    <w:rsid w:val="42A63447"/>
    <w:rsid w:val="42F04887"/>
    <w:rsid w:val="4316724D"/>
    <w:rsid w:val="434846C3"/>
    <w:rsid w:val="43657023"/>
    <w:rsid w:val="438A3B89"/>
    <w:rsid w:val="43D340CE"/>
    <w:rsid w:val="43E3354F"/>
    <w:rsid w:val="43E95B85"/>
    <w:rsid w:val="43F4005C"/>
    <w:rsid w:val="441E6D3B"/>
    <w:rsid w:val="445514B8"/>
    <w:rsid w:val="44600382"/>
    <w:rsid w:val="4487610F"/>
    <w:rsid w:val="44A30505"/>
    <w:rsid w:val="44D13DA3"/>
    <w:rsid w:val="44ED5263"/>
    <w:rsid w:val="45881A12"/>
    <w:rsid w:val="45957994"/>
    <w:rsid w:val="45A245F6"/>
    <w:rsid w:val="45B60E45"/>
    <w:rsid w:val="45CE3022"/>
    <w:rsid w:val="45E05A82"/>
    <w:rsid w:val="460E12C5"/>
    <w:rsid w:val="466E71FB"/>
    <w:rsid w:val="466F7790"/>
    <w:rsid w:val="46742486"/>
    <w:rsid w:val="467905E1"/>
    <w:rsid w:val="468864F4"/>
    <w:rsid w:val="469131A8"/>
    <w:rsid w:val="469E6E1E"/>
    <w:rsid w:val="46FE408F"/>
    <w:rsid w:val="47487DAC"/>
    <w:rsid w:val="475F3F14"/>
    <w:rsid w:val="477C63DB"/>
    <w:rsid w:val="478D46FC"/>
    <w:rsid w:val="47A70638"/>
    <w:rsid w:val="47D07F0E"/>
    <w:rsid w:val="47FF47A6"/>
    <w:rsid w:val="480231F8"/>
    <w:rsid w:val="4873598C"/>
    <w:rsid w:val="489A7B94"/>
    <w:rsid w:val="48B42ADE"/>
    <w:rsid w:val="48B435FB"/>
    <w:rsid w:val="48B71A12"/>
    <w:rsid w:val="48D02CEB"/>
    <w:rsid w:val="48DD2743"/>
    <w:rsid w:val="48F37D62"/>
    <w:rsid w:val="490D386A"/>
    <w:rsid w:val="492B1C6E"/>
    <w:rsid w:val="492C6CCE"/>
    <w:rsid w:val="49524B9F"/>
    <w:rsid w:val="498D3ED1"/>
    <w:rsid w:val="4996735E"/>
    <w:rsid w:val="49B92B5C"/>
    <w:rsid w:val="49D23873"/>
    <w:rsid w:val="4A237A69"/>
    <w:rsid w:val="4A774FCA"/>
    <w:rsid w:val="4AA56D21"/>
    <w:rsid w:val="4AAA4B8E"/>
    <w:rsid w:val="4AAC0115"/>
    <w:rsid w:val="4AB2685F"/>
    <w:rsid w:val="4ADB794E"/>
    <w:rsid w:val="4B486029"/>
    <w:rsid w:val="4BB413ED"/>
    <w:rsid w:val="4BE166FF"/>
    <w:rsid w:val="4BE44237"/>
    <w:rsid w:val="4C0E382A"/>
    <w:rsid w:val="4C436A6B"/>
    <w:rsid w:val="4C8067CF"/>
    <w:rsid w:val="4CAD344D"/>
    <w:rsid w:val="4CC23882"/>
    <w:rsid w:val="4CC45B5B"/>
    <w:rsid w:val="4D6837C3"/>
    <w:rsid w:val="4D6D377D"/>
    <w:rsid w:val="4D9428AC"/>
    <w:rsid w:val="4D9C13A2"/>
    <w:rsid w:val="4DAC4DBF"/>
    <w:rsid w:val="4DB73583"/>
    <w:rsid w:val="4DE40572"/>
    <w:rsid w:val="4DF32A73"/>
    <w:rsid w:val="4E34785A"/>
    <w:rsid w:val="4E3563DE"/>
    <w:rsid w:val="4EC4118A"/>
    <w:rsid w:val="4EC4185C"/>
    <w:rsid w:val="4F9667B6"/>
    <w:rsid w:val="4FC6420B"/>
    <w:rsid w:val="4FE74E2B"/>
    <w:rsid w:val="506B1AA9"/>
    <w:rsid w:val="50734538"/>
    <w:rsid w:val="507570B7"/>
    <w:rsid w:val="5078795B"/>
    <w:rsid w:val="50A805E8"/>
    <w:rsid w:val="50B633F7"/>
    <w:rsid w:val="50FD692A"/>
    <w:rsid w:val="510108F6"/>
    <w:rsid w:val="510C0E74"/>
    <w:rsid w:val="511A1DFE"/>
    <w:rsid w:val="511D4B69"/>
    <w:rsid w:val="514C41E5"/>
    <w:rsid w:val="516968B6"/>
    <w:rsid w:val="51770B85"/>
    <w:rsid w:val="518D45BC"/>
    <w:rsid w:val="518E4B47"/>
    <w:rsid w:val="51E673A5"/>
    <w:rsid w:val="52487B20"/>
    <w:rsid w:val="52815D19"/>
    <w:rsid w:val="52832168"/>
    <w:rsid w:val="528E2C6C"/>
    <w:rsid w:val="52A364A1"/>
    <w:rsid w:val="52D33297"/>
    <w:rsid w:val="52E1369D"/>
    <w:rsid w:val="52EC56D4"/>
    <w:rsid w:val="52FC27A3"/>
    <w:rsid w:val="53076945"/>
    <w:rsid w:val="530E7D09"/>
    <w:rsid w:val="532661C2"/>
    <w:rsid w:val="533023FD"/>
    <w:rsid w:val="53375928"/>
    <w:rsid w:val="533A0BC8"/>
    <w:rsid w:val="533B423C"/>
    <w:rsid w:val="53E91A0D"/>
    <w:rsid w:val="53FF6A2A"/>
    <w:rsid w:val="540F216C"/>
    <w:rsid w:val="54187B06"/>
    <w:rsid w:val="542236F8"/>
    <w:rsid w:val="54282ABB"/>
    <w:rsid w:val="54287FAD"/>
    <w:rsid w:val="54401C4D"/>
    <w:rsid w:val="54646C3E"/>
    <w:rsid w:val="547F5F66"/>
    <w:rsid w:val="54C56AD3"/>
    <w:rsid w:val="551C6A91"/>
    <w:rsid w:val="554F054C"/>
    <w:rsid w:val="555F792C"/>
    <w:rsid w:val="5590185A"/>
    <w:rsid w:val="55965D69"/>
    <w:rsid w:val="55A721DA"/>
    <w:rsid w:val="55B53038"/>
    <w:rsid w:val="55D3016F"/>
    <w:rsid w:val="55EE78DF"/>
    <w:rsid w:val="55F40954"/>
    <w:rsid w:val="561C04F6"/>
    <w:rsid w:val="563716AF"/>
    <w:rsid w:val="563D2930"/>
    <w:rsid w:val="56542828"/>
    <w:rsid w:val="565D2C34"/>
    <w:rsid w:val="56657B0C"/>
    <w:rsid w:val="567B051D"/>
    <w:rsid w:val="56881EB5"/>
    <w:rsid w:val="56B67D92"/>
    <w:rsid w:val="56D331F8"/>
    <w:rsid w:val="57091483"/>
    <w:rsid w:val="574A0A28"/>
    <w:rsid w:val="574F3FF6"/>
    <w:rsid w:val="57526C64"/>
    <w:rsid w:val="57550673"/>
    <w:rsid w:val="57700E14"/>
    <w:rsid w:val="57737874"/>
    <w:rsid w:val="57740447"/>
    <w:rsid w:val="57B14CBB"/>
    <w:rsid w:val="57E70596"/>
    <w:rsid w:val="58073069"/>
    <w:rsid w:val="580D332C"/>
    <w:rsid w:val="58177B24"/>
    <w:rsid w:val="582B1DED"/>
    <w:rsid w:val="58444517"/>
    <w:rsid w:val="58473C13"/>
    <w:rsid w:val="58BB0E3B"/>
    <w:rsid w:val="58D93F53"/>
    <w:rsid w:val="58EA19F2"/>
    <w:rsid w:val="595360E7"/>
    <w:rsid w:val="595973A8"/>
    <w:rsid w:val="59AF28EB"/>
    <w:rsid w:val="59E4642A"/>
    <w:rsid w:val="5A1F4032"/>
    <w:rsid w:val="5A5C1AB7"/>
    <w:rsid w:val="5A99726A"/>
    <w:rsid w:val="5ABA32A4"/>
    <w:rsid w:val="5AFF6487"/>
    <w:rsid w:val="5B246597"/>
    <w:rsid w:val="5BA331EE"/>
    <w:rsid w:val="5BA86DF2"/>
    <w:rsid w:val="5C186031"/>
    <w:rsid w:val="5C2C0D32"/>
    <w:rsid w:val="5C4E4BEC"/>
    <w:rsid w:val="5C4F684F"/>
    <w:rsid w:val="5C6F4A73"/>
    <w:rsid w:val="5C75112A"/>
    <w:rsid w:val="5C760876"/>
    <w:rsid w:val="5CA41BB3"/>
    <w:rsid w:val="5CCA61FA"/>
    <w:rsid w:val="5CF21B0E"/>
    <w:rsid w:val="5D1E06BD"/>
    <w:rsid w:val="5D4D111E"/>
    <w:rsid w:val="5D6F6E66"/>
    <w:rsid w:val="5D70683D"/>
    <w:rsid w:val="5D7C5E0A"/>
    <w:rsid w:val="5D907010"/>
    <w:rsid w:val="5DB32E29"/>
    <w:rsid w:val="5DBE3E21"/>
    <w:rsid w:val="5DCC7A48"/>
    <w:rsid w:val="5DE942D5"/>
    <w:rsid w:val="5DEC5261"/>
    <w:rsid w:val="5DFD732A"/>
    <w:rsid w:val="5E4D6B7B"/>
    <w:rsid w:val="5E601ED8"/>
    <w:rsid w:val="5EE20112"/>
    <w:rsid w:val="5F1C5490"/>
    <w:rsid w:val="5F6E0576"/>
    <w:rsid w:val="5F957EC4"/>
    <w:rsid w:val="5FB55904"/>
    <w:rsid w:val="5FC03B07"/>
    <w:rsid w:val="60323A76"/>
    <w:rsid w:val="603C7711"/>
    <w:rsid w:val="60604F75"/>
    <w:rsid w:val="606551D9"/>
    <w:rsid w:val="60900C3C"/>
    <w:rsid w:val="60CE097C"/>
    <w:rsid w:val="61493688"/>
    <w:rsid w:val="61502C69"/>
    <w:rsid w:val="61AE4B02"/>
    <w:rsid w:val="622860C8"/>
    <w:rsid w:val="622D7909"/>
    <w:rsid w:val="623E0D13"/>
    <w:rsid w:val="626935F0"/>
    <w:rsid w:val="62817650"/>
    <w:rsid w:val="628A5C1D"/>
    <w:rsid w:val="62B83232"/>
    <w:rsid w:val="62C10E3C"/>
    <w:rsid w:val="62C31D67"/>
    <w:rsid w:val="63047507"/>
    <w:rsid w:val="6312429A"/>
    <w:rsid w:val="631A2BC9"/>
    <w:rsid w:val="63370822"/>
    <w:rsid w:val="63380E76"/>
    <w:rsid w:val="635465F8"/>
    <w:rsid w:val="636E20BA"/>
    <w:rsid w:val="63980461"/>
    <w:rsid w:val="63CC2CC1"/>
    <w:rsid w:val="63ED306B"/>
    <w:rsid w:val="640B02BA"/>
    <w:rsid w:val="64244E51"/>
    <w:rsid w:val="643C31DE"/>
    <w:rsid w:val="643C6636"/>
    <w:rsid w:val="64515F5C"/>
    <w:rsid w:val="64616E12"/>
    <w:rsid w:val="6490234B"/>
    <w:rsid w:val="649C407B"/>
    <w:rsid w:val="649F62E3"/>
    <w:rsid w:val="64A62797"/>
    <w:rsid w:val="65404DA2"/>
    <w:rsid w:val="65463BC6"/>
    <w:rsid w:val="654D2217"/>
    <w:rsid w:val="654F3794"/>
    <w:rsid w:val="65940C43"/>
    <w:rsid w:val="65B4324D"/>
    <w:rsid w:val="65CB7A3E"/>
    <w:rsid w:val="65E00396"/>
    <w:rsid w:val="66115E99"/>
    <w:rsid w:val="66272146"/>
    <w:rsid w:val="663D57BF"/>
    <w:rsid w:val="66700227"/>
    <w:rsid w:val="66792AE9"/>
    <w:rsid w:val="66882D63"/>
    <w:rsid w:val="66AC6320"/>
    <w:rsid w:val="66CC7E63"/>
    <w:rsid w:val="66DA66F4"/>
    <w:rsid w:val="66F567E1"/>
    <w:rsid w:val="66FC5177"/>
    <w:rsid w:val="67217B46"/>
    <w:rsid w:val="672646BD"/>
    <w:rsid w:val="67355A47"/>
    <w:rsid w:val="67475D95"/>
    <w:rsid w:val="6779166F"/>
    <w:rsid w:val="678923B2"/>
    <w:rsid w:val="67D80D38"/>
    <w:rsid w:val="67ED0923"/>
    <w:rsid w:val="67F30F83"/>
    <w:rsid w:val="68292DCF"/>
    <w:rsid w:val="689E0944"/>
    <w:rsid w:val="68B73DE2"/>
    <w:rsid w:val="68CC0758"/>
    <w:rsid w:val="68CC2C1E"/>
    <w:rsid w:val="68D0643D"/>
    <w:rsid w:val="68DF2FF6"/>
    <w:rsid w:val="68E70493"/>
    <w:rsid w:val="68F3012B"/>
    <w:rsid w:val="69352705"/>
    <w:rsid w:val="69A17162"/>
    <w:rsid w:val="69A5279E"/>
    <w:rsid w:val="69C425F2"/>
    <w:rsid w:val="69DB2E6E"/>
    <w:rsid w:val="6A0A597F"/>
    <w:rsid w:val="6A12191B"/>
    <w:rsid w:val="6A2439B3"/>
    <w:rsid w:val="6A3978D9"/>
    <w:rsid w:val="6A7846E4"/>
    <w:rsid w:val="6AAD62F3"/>
    <w:rsid w:val="6AC00200"/>
    <w:rsid w:val="6AC87FE6"/>
    <w:rsid w:val="6ACE671E"/>
    <w:rsid w:val="6ACE7EF4"/>
    <w:rsid w:val="6AD35EFF"/>
    <w:rsid w:val="6AE8764C"/>
    <w:rsid w:val="6B295318"/>
    <w:rsid w:val="6B3C1A18"/>
    <w:rsid w:val="6B7A1F56"/>
    <w:rsid w:val="6B7C7F06"/>
    <w:rsid w:val="6BBE4C73"/>
    <w:rsid w:val="6BCA0AAB"/>
    <w:rsid w:val="6BD15664"/>
    <w:rsid w:val="6C1E3FD0"/>
    <w:rsid w:val="6C226B39"/>
    <w:rsid w:val="6C5A3A0D"/>
    <w:rsid w:val="6C5E0B3B"/>
    <w:rsid w:val="6C6B4A74"/>
    <w:rsid w:val="6CC21E7D"/>
    <w:rsid w:val="6D262D15"/>
    <w:rsid w:val="6D3656EF"/>
    <w:rsid w:val="6D3A3105"/>
    <w:rsid w:val="6D482568"/>
    <w:rsid w:val="6D4A4995"/>
    <w:rsid w:val="6D5532B3"/>
    <w:rsid w:val="6D7E46BA"/>
    <w:rsid w:val="6D886A7E"/>
    <w:rsid w:val="6D941D09"/>
    <w:rsid w:val="6D9C3A44"/>
    <w:rsid w:val="6DA427F5"/>
    <w:rsid w:val="6E13574A"/>
    <w:rsid w:val="6E21403C"/>
    <w:rsid w:val="6E330253"/>
    <w:rsid w:val="6E3304BF"/>
    <w:rsid w:val="6E347F57"/>
    <w:rsid w:val="6E364192"/>
    <w:rsid w:val="6E475AB2"/>
    <w:rsid w:val="6E77356E"/>
    <w:rsid w:val="6E866242"/>
    <w:rsid w:val="6E891B91"/>
    <w:rsid w:val="6E8F27F1"/>
    <w:rsid w:val="6EB63338"/>
    <w:rsid w:val="6EF5435A"/>
    <w:rsid w:val="6F1144A1"/>
    <w:rsid w:val="6F1E1636"/>
    <w:rsid w:val="6F263E42"/>
    <w:rsid w:val="6F306DAC"/>
    <w:rsid w:val="6F3A3047"/>
    <w:rsid w:val="6F7B460C"/>
    <w:rsid w:val="6FA10C39"/>
    <w:rsid w:val="6FE00BE9"/>
    <w:rsid w:val="70115A26"/>
    <w:rsid w:val="70216499"/>
    <w:rsid w:val="702D129B"/>
    <w:rsid w:val="703E0C65"/>
    <w:rsid w:val="703E2B79"/>
    <w:rsid w:val="70710506"/>
    <w:rsid w:val="70713DDC"/>
    <w:rsid w:val="7092324D"/>
    <w:rsid w:val="70951D59"/>
    <w:rsid w:val="70F204B7"/>
    <w:rsid w:val="70F61D47"/>
    <w:rsid w:val="715F5421"/>
    <w:rsid w:val="716D3385"/>
    <w:rsid w:val="718C6958"/>
    <w:rsid w:val="719B6B39"/>
    <w:rsid w:val="71BC6BD9"/>
    <w:rsid w:val="720044F8"/>
    <w:rsid w:val="720830D1"/>
    <w:rsid w:val="72284FDE"/>
    <w:rsid w:val="7240467D"/>
    <w:rsid w:val="724C56C4"/>
    <w:rsid w:val="726C57CD"/>
    <w:rsid w:val="726D16C8"/>
    <w:rsid w:val="72A027D6"/>
    <w:rsid w:val="72BA6F0A"/>
    <w:rsid w:val="72BF4E66"/>
    <w:rsid w:val="73035908"/>
    <w:rsid w:val="732402A3"/>
    <w:rsid w:val="734E220F"/>
    <w:rsid w:val="73A73B55"/>
    <w:rsid w:val="73A9407A"/>
    <w:rsid w:val="73AA3F99"/>
    <w:rsid w:val="73BB7431"/>
    <w:rsid w:val="73DD331C"/>
    <w:rsid w:val="73DE5F06"/>
    <w:rsid w:val="73E9707D"/>
    <w:rsid w:val="740D3D5D"/>
    <w:rsid w:val="74250095"/>
    <w:rsid w:val="74257F85"/>
    <w:rsid w:val="742B2524"/>
    <w:rsid w:val="745C5297"/>
    <w:rsid w:val="7495298E"/>
    <w:rsid w:val="74B65597"/>
    <w:rsid w:val="74C26C33"/>
    <w:rsid w:val="74CC2038"/>
    <w:rsid w:val="74DE1F8E"/>
    <w:rsid w:val="74E448EF"/>
    <w:rsid w:val="75333903"/>
    <w:rsid w:val="75CC403F"/>
    <w:rsid w:val="763425AE"/>
    <w:rsid w:val="76355130"/>
    <w:rsid w:val="76871492"/>
    <w:rsid w:val="76C94A39"/>
    <w:rsid w:val="76D147A5"/>
    <w:rsid w:val="76F77912"/>
    <w:rsid w:val="773C450F"/>
    <w:rsid w:val="77431390"/>
    <w:rsid w:val="77502B16"/>
    <w:rsid w:val="77572DB1"/>
    <w:rsid w:val="77671F5F"/>
    <w:rsid w:val="77866432"/>
    <w:rsid w:val="779857E2"/>
    <w:rsid w:val="779A1871"/>
    <w:rsid w:val="780973A7"/>
    <w:rsid w:val="780E53B6"/>
    <w:rsid w:val="78205980"/>
    <w:rsid w:val="782D2DA3"/>
    <w:rsid w:val="784035B9"/>
    <w:rsid w:val="78B93685"/>
    <w:rsid w:val="78F76127"/>
    <w:rsid w:val="7916613D"/>
    <w:rsid w:val="793449A8"/>
    <w:rsid w:val="793A1E33"/>
    <w:rsid w:val="79963B4D"/>
    <w:rsid w:val="79B1781C"/>
    <w:rsid w:val="79FA2074"/>
    <w:rsid w:val="7A233932"/>
    <w:rsid w:val="7A6501E9"/>
    <w:rsid w:val="7A65630B"/>
    <w:rsid w:val="7A967F03"/>
    <w:rsid w:val="7AB87BC0"/>
    <w:rsid w:val="7ABC5018"/>
    <w:rsid w:val="7AC41E46"/>
    <w:rsid w:val="7ACD3B1B"/>
    <w:rsid w:val="7ADD6591"/>
    <w:rsid w:val="7B352F21"/>
    <w:rsid w:val="7B3C10F5"/>
    <w:rsid w:val="7BA41DAD"/>
    <w:rsid w:val="7BB44C04"/>
    <w:rsid w:val="7BD8349C"/>
    <w:rsid w:val="7BE8409A"/>
    <w:rsid w:val="7C1052B9"/>
    <w:rsid w:val="7C222FC3"/>
    <w:rsid w:val="7C282F2D"/>
    <w:rsid w:val="7C2A4757"/>
    <w:rsid w:val="7C9B3288"/>
    <w:rsid w:val="7CB417B0"/>
    <w:rsid w:val="7CBA7387"/>
    <w:rsid w:val="7CD939D8"/>
    <w:rsid w:val="7CE31CAD"/>
    <w:rsid w:val="7CFF11CF"/>
    <w:rsid w:val="7D354B4A"/>
    <w:rsid w:val="7D8F7D2A"/>
    <w:rsid w:val="7E1E6FF0"/>
    <w:rsid w:val="7E484845"/>
    <w:rsid w:val="7E723EB0"/>
    <w:rsid w:val="7E994BDC"/>
    <w:rsid w:val="7EB005FA"/>
    <w:rsid w:val="7F310961"/>
    <w:rsid w:val="7F585EAA"/>
    <w:rsid w:val="7F76189B"/>
    <w:rsid w:val="7F8750B3"/>
    <w:rsid w:val="7FC11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 w:type="paragraph" w:customStyle="1" w:styleId="15">
    <w:name w:val="GP（表格）"/>
    <w:basedOn w:val="1"/>
    <w:qFormat/>
    <w:uiPriority w:val="99"/>
    <w:rPr>
      <w:rFonts w:ascii="Arial" w:hAnsi="Arial" w:eastAsia="微软雅黑"/>
      <w:sz w:val="18"/>
    </w:rPr>
  </w:style>
  <w:style w:type="paragraph" w:customStyle="1" w:styleId="16">
    <w:name w:val="GP（正文）"/>
    <w:basedOn w:val="1"/>
    <w:qFormat/>
    <w:uiPriority w:val="0"/>
    <w:pPr>
      <w:adjustRightInd w:val="0"/>
      <w:snapToGrid w:val="0"/>
      <w:spacing w:beforeLines="30"/>
      <w:ind w:firstLine="200" w:firstLineChars="200"/>
    </w:pPr>
    <w:rPr>
      <w:rFonts w:ascii="Arial" w:hAnsi="Arial" w:eastAsia="微软雅黑"/>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3598</Words>
  <Characters>3728</Characters>
  <Lines>0</Lines>
  <Paragraphs>0</Paragraphs>
  <TotalTime>0</TotalTime>
  <ScaleCrop>false</ScaleCrop>
  <LinksUpToDate>false</LinksUpToDate>
  <CharactersWithSpaces>3824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2021-07-06T07:08:00Z</dcterms:created>
  <dc:creator>何亨贵</dc:creator>
  <cp:lastModifiedBy>小紫</cp:lastModifiedBy>
  <cp:lastPrinted>2021-07-06T07:43:00Z</cp:lastPrinted>
  <dcterms:modified xsi:type="dcterms:W3CDTF">2025-09-15T15:07:32Z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1B9229FC03904763896BA7A200E37CE8</vt:lpwstr>
  </property>
  <property fmtid="{D5CDD505-2E9C-101B-9397-08002B2CF9AE}" pid="4" name="KSOTemplateDocerSaveRecord">
    <vt:lpwstr>eyJoZGlkIjoiODk2ODhjNzAxOTUwY2E1MGI3OWE0NWYzZDVlNDc2NGMiLCJ1c2VySWQiOiIxMTI0MTgyOTAyIn0=</vt:lpwstr>
  </property>
</Properties>
</file>