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18B85">
      <w:pPr>
        <w:jc w:val="right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</w:p>
    <w:p w14:paraId="66AB7962"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</w:p>
    <w:p w14:paraId="40EFE84F"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  <w:t>吉首大学</w:t>
      </w:r>
    </w:p>
    <w:p w14:paraId="35F0E767"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招投标管理系统</w:t>
      </w:r>
    </w:p>
    <w:p w14:paraId="65201211">
      <w:pPr>
        <w:jc w:val="center"/>
        <w:rPr>
          <w:rFonts w:hint="eastAsia"/>
          <w:b/>
          <w:bCs/>
          <w:sz w:val="48"/>
          <w:szCs w:val="48"/>
        </w:rPr>
      </w:pPr>
    </w:p>
    <w:p w14:paraId="67EEEFF2">
      <w:pPr>
        <w:jc w:val="center"/>
        <w:rPr>
          <w:rFonts w:hint="eastAsia"/>
          <w:b/>
          <w:bCs/>
          <w:sz w:val="48"/>
          <w:szCs w:val="48"/>
        </w:rPr>
      </w:pPr>
    </w:p>
    <w:p w14:paraId="56B4505B">
      <w:pPr>
        <w:jc w:val="center"/>
        <w:rPr>
          <w:rFonts w:hint="eastAsia"/>
          <w:b/>
          <w:bCs/>
          <w:sz w:val="48"/>
          <w:szCs w:val="48"/>
        </w:rPr>
      </w:pPr>
    </w:p>
    <w:p w14:paraId="44C0C25D">
      <w:pPr>
        <w:jc w:val="center"/>
        <w:rPr>
          <w:rFonts w:hint="eastAsia"/>
          <w:b/>
          <w:bCs/>
          <w:sz w:val="48"/>
          <w:szCs w:val="48"/>
        </w:rPr>
      </w:pPr>
    </w:p>
    <w:p w14:paraId="42AC0A1D">
      <w:pPr>
        <w:jc w:val="center"/>
        <w:rPr>
          <w:rFonts w:hint="eastAsia"/>
          <w:b/>
          <w:bCs/>
          <w:sz w:val="48"/>
          <w:szCs w:val="48"/>
        </w:rPr>
      </w:pPr>
    </w:p>
    <w:p w14:paraId="74B6049F">
      <w:pPr>
        <w:jc w:val="both"/>
        <w:rPr>
          <w:rFonts w:hint="eastAsia"/>
          <w:b/>
          <w:bCs/>
          <w:sz w:val="48"/>
          <w:szCs w:val="48"/>
        </w:rPr>
      </w:pPr>
    </w:p>
    <w:p w14:paraId="502F6CF7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代理机构</w:t>
      </w:r>
      <w:r>
        <w:rPr>
          <w:rFonts w:hint="eastAsia"/>
          <w:b/>
          <w:bCs/>
          <w:sz w:val="48"/>
          <w:szCs w:val="48"/>
        </w:rPr>
        <w:t>操作手册</w:t>
      </w:r>
    </w:p>
    <w:p w14:paraId="688C3E60"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b/>
          <w:bCs/>
          <w:sz w:val="36"/>
          <w:szCs w:val="36"/>
        </w:rPr>
        <w:t>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  <w:lang w:val="en-US" w:eastAsia="zh-CN"/>
        </w:rPr>
        <w:t>05</w:t>
      </w:r>
    </w:p>
    <w:p w14:paraId="32530F75">
      <w:pPr>
        <w:bidi w:val="0"/>
        <w:rPr>
          <w:rFonts w:hint="eastAsia"/>
          <w:lang w:val="en-US" w:eastAsia="zh-CN"/>
        </w:rPr>
      </w:pPr>
    </w:p>
    <w:p w14:paraId="32B959C4">
      <w:pPr>
        <w:bidi w:val="0"/>
        <w:rPr>
          <w:rFonts w:hint="eastAsia"/>
          <w:lang w:val="en-US" w:eastAsia="zh-CN"/>
        </w:rPr>
      </w:pPr>
    </w:p>
    <w:p w14:paraId="515A4C15">
      <w:pPr>
        <w:bidi w:val="0"/>
        <w:rPr>
          <w:rFonts w:hint="eastAsia"/>
          <w:lang w:val="en-US" w:eastAsia="zh-CN"/>
        </w:rPr>
      </w:pPr>
    </w:p>
    <w:p w14:paraId="41FB019E">
      <w:pPr>
        <w:bidi w:val="0"/>
        <w:rPr>
          <w:rFonts w:hint="eastAsia"/>
          <w:lang w:val="en-US" w:eastAsia="zh-CN"/>
        </w:rPr>
      </w:pPr>
    </w:p>
    <w:p w14:paraId="6C73C1FD">
      <w:pPr>
        <w:bidi w:val="0"/>
        <w:rPr>
          <w:rFonts w:hint="eastAsia"/>
          <w:lang w:val="en-US" w:eastAsia="zh-CN"/>
        </w:rPr>
      </w:pPr>
    </w:p>
    <w:p w14:paraId="762091DD">
      <w:pPr>
        <w:bidi w:val="0"/>
        <w:rPr>
          <w:rFonts w:hint="eastAsia"/>
          <w:lang w:val="en-US" w:eastAsia="zh-CN"/>
        </w:rPr>
      </w:pPr>
    </w:p>
    <w:p w14:paraId="5FD080EF">
      <w:pPr>
        <w:bidi w:val="0"/>
        <w:rPr>
          <w:rFonts w:hint="eastAsia"/>
          <w:lang w:val="en-US" w:eastAsia="zh-CN"/>
        </w:rPr>
      </w:pPr>
    </w:p>
    <w:p w14:paraId="3DE174DA">
      <w:pPr>
        <w:bidi w:val="0"/>
        <w:rPr>
          <w:rFonts w:hint="eastAsia"/>
          <w:lang w:val="en-US" w:eastAsia="zh-CN"/>
        </w:rPr>
      </w:pPr>
    </w:p>
    <w:p w14:paraId="7AD68901">
      <w:pPr>
        <w:bidi w:val="0"/>
        <w:rPr>
          <w:rFonts w:hint="eastAsia"/>
          <w:lang w:val="en-US" w:eastAsia="zh-CN"/>
        </w:rPr>
      </w:pPr>
    </w:p>
    <w:p w14:paraId="52FFCF62">
      <w:pPr>
        <w:bidi w:val="0"/>
        <w:rPr>
          <w:rFonts w:hint="eastAsia"/>
          <w:lang w:val="en-US" w:eastAsia="zh-CN"/>
        </w:rPr>
      </w:pPr>
    </w:p>
    <w:p w14:paraId="190FD64F">
      <w:pPr>
        <w:tabs>
          <w:tab w:val="left" w:pos="2753"/>
        </w:tabs>
        <w:bidi w:val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湖南好采投信息技术有限公司编制</w:t>
      </w:r>
    </w:p>
    <w:p w14:paraId="7A65E095"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  <w:id w:val="14746193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</w:sdtEndPr>
      <w:sdtContent>
        <w:p w14:paraId="741983B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0"/>
              <w:szCs w:val="30"/>
            </w:rPr>
          </w:pPr>
          <w:bookmarkStart w:id="12" w:name="_GoBack"/>
          <w:bookmarkEnd w:id="12"/>
          <w:r>
            <w:rPr>
              <w:rFonts w:hint="eastAsia" w:ascii="黑体" w:hAnsi="黑体" w:eastAsia="黑体" w:cs="黑体"/>
              <w:sz w:val="30"/>
              <w:szCs w:val="30"/>
            </w:rPr>
            <w:t>目录</w:t>
          </w:r>
        </w:p>
        <w:p w14:paraId="10FEF473">
          <w:pPr>
            <w:pStyle w:val="5"/>
            <w:tabs>
              <w:tab w:val="right" w:leader="dot" w:pos="8306"/>
            </w:tabs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"1-3"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_Toc31958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1.概述</w:t>
          </w:r>
          <w:r>
            <w:tab/>
          </w:r>
          <w:r>
            <w:fldChar w:fldCharType="begin"/>
          </w:r>
          <w:r>
            <w:instrText xml:space="preserve"> PAGEREF _Toc31958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044739F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_Toc23061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2.使用对象</w:t>
          </w:r>
          <w:r>
            <w:tab/>
          </w:r>
          <w:r>
            <w:fldChar w:fldCharType="begin"/>
          </w:r>
          <w:r>
            <w:instrText xml:space="preserve"> PAGEREF _Toc23061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1E9A102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_Toc10312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3.系统登录</w:t>
          </w:r>
          <w:r>
            <w:tab/>
          </w:r>
          <w:r>
            <w:fldChar w:fldCharType="begin"/>
          </w:r>
          <w:r>
            <w:instrText xml:space="preserve"> PAGEREF _Toc10312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09E0A22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_Toc20751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4.接收采购项目</w:t>
          </w:r>
          <w:r>
            <w:tab/>
          </w:r>
          <w:r>
            <w:fldChar w:fldCharType="begin"/>
          </w:r>
          <w:r>
            <w:instrText xml:space="preserve"> PAGEREF _Toc20751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2350563A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_Toc3333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5.上传招标文件</w:t>
          </w:r>
          <w:r>
            <w:tab/>
          </w:r>
          <w:r>
            <w:fldChar w:fldCharType="begin"/>
          </w:r>
          <w:r>
            <w:instrText xml:space="preserve"> PAGEREF _Toc3333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785408ED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_Toc9456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6.招标文件内审</w:t>
          </w:r>
          <w:r>
            <w:tab/>
          </w:r>
          <w:r>
            <w:fldChar w:fldCharType="begin"/>
          </w:r>
          <w:r>
            <w:instrText xml:space="preserve"> PAGEREF _Toc9456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4562FAA4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_Toc28090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7.招标文件定稿</w:t>
          </w:r>
          <w:r>
            <w:tab/>
          </w:r>
          <w:r>
            <w:fldChar w:fldCharType="begin"/>
          </w:r>
          <w:r>
            <w:instrText xml:space="preserve"> PAGEREF _Toc28090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1CC42D3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_Toc17899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8.公告备案</w:t>
          </w:r>
          <w:r>
            <w:tab/>
          </w:r>
          <w:r>
            <w:fldChar w:fldCharType="begin"/>
          </w:r>
          <w:r>
            <w:instrText xml:space="preserve"> PAGEREF _Toc17899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8EBBB65">
          <w:pPr>
            <w:pStyle w:val="5"/>
            <w:tabs>
              <w:tab w:val="right" w:leader="dot" w:pos="8306"/>
            </w:tabs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_Toc14622 </w:instrText>
          </w:r>
          <w:r>
            <w:rPr>
              <w:szCs w:val="21"/>
            </w:rPr>
            <w:fldChar w:fldCharType="separate"/>
          </w:r>
          <w:r>
            <w:rPr>
              <w:rFonts w:hint="eastAsia" w:ascii="华文中宋" w:hAnsi="华文中宋" w:eastAsia="华文中宋" w:cs="华文中宋"/>
              <w:bCs/>
              <w:kern w:val="2"/>
              <w:szCs w:val="30"/>
              <w:lang w:val="en-US" w:eastAsia="zh-CN" w:bidi="ar-SA"/>
            </w:rPr>
            <w:t>9.成交结果备案</w:t>
          </w:r>
          <w:r>
            <w:tab/>
          </w:r>
          <w:r>
            <w:fldChar w:fldCharType="begin"/>
          </w:r>
          <w:r>
            <w:instrText xml:space="preserve"> PAGEREF _Toc14622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68E81D58">
          <w:r>
            <w:rPr>
              <w:szCs w:val="21"/>
            </w:rPr>
            <w:fldChar w:fldCharType="end"/>
          </w:r>
        </w:p>
      </w:sdtContent>
    </w:sdt>
    <w:p w14:paraId="7C53B9F3">
      <w:p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br w:type="page"/>
      </w:r>
    </w:p>
    <w:p w14:paraId="2C3162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0" w:name="_Toc1066"/>
      <w:bookmarkStart w:id="1" w:name="_Toc31958"/>
      <w:bookmarkStart w:id="2" w:name="_Toc30414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1.概述</w:t>
      </w:r>
      <w:bookmarkEnd w:id="0"/>
      <w:bookmarkEnd w:id="1"/>
    </w:p>
    <w:p w14:paraId="54B2007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line="360" w:lineRule="auto"/>
        <w:ind w:firstLine="42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本手册是帮助系统使用者、管理人员和开发人员，了解采购单位在系统中所拥有的功能，同时能够快速、准确地掌握各功能的操作和使用方法。</w:t>
      </w:r>
    </w:p>
    <w:p w14:paraId="439695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3" w:name="_Toc25001"/>
      <w:bookmarkStart w:id="4" w:name="_Toc23061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2.使用对象</w:t>
      </w:r>
      <w:bookmarkEnd w:id="3"/>
      <w:bookmarkEnd w:id="4"/>
    </w:p>
    <w:p w14:paraId="01F7C31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line="360" w:lineRule="auto"/>
        <w:ind w:firstLine="42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本手册的使用对象是代理机构，完成接收采购项目、上传招标文件、公告备案、成交结果备案。</w:t>
      </w:r>
    </w:p>
    <w:p w14:paraId="22250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5" w:name="_Toc10312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3.系统登录</w:t>
      </w:r>
      <w:bookmarkEnd w:id="2"/>
      <w:bookmarkEnd w:id="5"/>
    </w:p>
    <w:p w14:paraId="0F80403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line="360" w:lineRule="auto"/>
        <w:ind w:firstLine="42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在浏览器中输入地址：</w:t>
      </w:r>
    </w:p>
    <w:p w14:paraId="683F240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line="360" w:lineRule="auto"/>
        <w:ind w:firstLine="960" w:firstLineChars="4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u w:val="single"/>
          <w:lang w:val="en-US" w:eastAsia="zh-CN" w:bidi="ar-SA"/>
        </w:rPr>
        <w:fldChar w:fldCharType="begin"/>
      </w:r>
      <w:r>
        <w:rPr>
          <w:rFonts w:hint="eastAsia" w:ascii="华文中宋" w:hAnsi="华文中宋" w:eastAsia="华文中宋" w:cs="华文中宋"/>
          <w:kern w:val="2"/>
          <w:sz w:val="24"/>
          <w:szCs w:val="22"/>
          <w:u w:val="single"/>
          <w:lang w:val="en-US" w:eastAsia="zh-CN" w:bidi="ar-SA"/>
        </w:rPr>
        <w:instrText xml:space="preserve"> HYPERLINK "https://zbcg.jsu.edu.cn/jsdxzbcg/agent_login.jsp" </w:instrText>
      </w:r>
      <w:r>
        <w:rPr>
          <w:rFonts w:hint="eastAsia" w:ascii="华文中宋" w:hAnsi="华文中宋" w:eastAsia="华文中宋" w:cs="华文中宋"/>
          <w:kern w:val="2"/>
          <w:sz w:val="24"/>
          <w:szCs w:val="22"/>
          <w:u w:val="single"/>
          <w:lang w:val="en-US" w:eastAsia="zh-CN" w:bidi="ar-SA"/>
        </w:rPr>
        <w:fldChar w:fldCharType="separate"/>
      </w:r>
      <w:r>
        <w:rPr>
          <w:rStyle w:val="9"/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https://zbcg.jsu.edu.cn/jsdxzbcg/agent_login.jsp</w:t>
      </w:r>
      <w:r>
        <w:rPr>
          <w:rFonts w:hint="eastAsia" w:ascii="华文中宋" w:hAnsi="华文中宋" w:eastAsia="华文中宋" w:cs="华文中宋"/>
          <w:kern w:val="2"/>
          <w:sz w:val="24"/>
          <w:szCs w:val="22"/>
          <w:u w:val="single"/>
          <w:lang w:val="en-US" w:eastAsia="zh-CN" w:bidi="ar-SA"/>
        </w:rPr>
        <w:fldChar w:fldCharType="end"/>
      </w:r>
      <w:r>
        <w:rPr>
          <w:rFonts w:hint="eastAsia" w:ascii="华文中宋" w:hAnsi="华文中宋" w:eastAsia="华文中宋" w:cs="华文中宋"/>
          <w:kern w:val="2"/>
          <w:sz w:val="24"/>
          <w:szCs w:val="22"/>
          <w:u w:val="none"/>
          <w:lang w:val="en-US" w:eastAsia="zh-CN" w:bidi="ar-SA"/>
        </w:rPr>
        <w:t xml:space="preserve"> </w:t>
      </w: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进入代理机构登录页面。</w:t>
      </w:r>
    </w:p>
    <w:p w14:paraId="3F93C14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93" w:line="360" w:lineRule="auto"/>
        <w:ind w:firstLine="42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输入学校分配的账号和密码（第一次登录会提示修改密码），输入修改后的密码，点击登录即可进入主页面。</w:t>
      </w:r>
    </w:p>
    <w:p w14:paraId="25C8A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411095"/>
            <wp:effectExtent l="0" t="0" r="381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04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default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6" w:name="_Toc20751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4.接收采购项目</w:t>
      </w:r>
      <w:bookmarkEnd w:id="6"/>
    </w:p>
    <w:p w14:paraId="2F6E5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进入“代理机构项目管理-采购项目接收”菜单或在首页的待办事宜中，点击采购项目待接收入口，进入待接收项目页面。</w:t>
      </w:r>
    </w:p>
    <w:p w14:paraId="11E0F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Times New Roman" w:eastAsia="宋体" w:cs="Times New Roman"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5266690" cy="2411095"/>
            <wp:effectExtent l="0" t="0" r="3810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5D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在“待接收项目”页签下点击【处理】按钮，进入项目详细页面。</w:t>
      </w:r>
    </w:p>
    <w:p w14:paraId="38812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F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①确认学校提供的资料，如资料有误，请点击【退回给采购人】至学校招标办进行重新修改后再提交。②确认学校提供的资料无误后，请点击【确认接收】按钮，表示代理机构已经正式接收该委托项目。</w:t>
      </w:r>
    </w:p>
    <w:p w14:paraId="1735F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Times New Roman" w:eastAsia="宋体" w:cs="Times New Roman"/>
          <w:b/>
          <w:bCs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5266690" cy="2411095"/>
            <wp:effectExtent l="0" t="0" r="3810" b="19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6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7" w:name="_Toc3333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5.上传招标文件</w:t>
      </w:r>
      <w:bookmarkEnd w:id="7"/>
    </w:p>
    <w:p w14:paraId="3C6FE5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进入“代理机构项目接收-采购项目接收”菜单，或在首页的待办事项中，选择待办项目，进入项目待处理页面。</w:t>
      </w:r>
    </w:p>
    <w:p w14:paraId="6C5C5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3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点击【处理】按钮，进入招标文件及委托合同上传页面。</w:t>
      </w:r>
    </w:p>
    <w:p w14:paraId="27719B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B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填写代理编号，将相应的文件上传系统，点击【保存并提交】，将招标文件及委托合同提交至代理机构项目经理进行内审。</w:t>
      </w:r>
    </w:p>
    <w:p w14:paraId="71518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94585"/>
            <wp:effectExtent l="0" t="0" r="3810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6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C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default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8" w:name="_Toc9456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6.招标文件内审</w:t>
      </w:r>
      <w:bookmarkEnd w:id="8"/>
    </w:p>
    <w:p w14:paraId="27AB5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审核人进入“代理机构项目管理-招标文件内审”菜单，进入招标文件内审页面。点击【处理】按钮，进入详细页面审核。</w:t>
      </w:r>
    </w:p>
    <w:p w14:paraId="4BD601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2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确认并审核相关文件，点击【审批】按钮，弹出审批意见框，点击【审批通过提交至采购人】按钮，则将招标文件及委托合同发送至学校；点击【审批不通过】按钮，则退回至代理机构项目经办人重新修改再提交。</w:t>
      </w:r>
    </w:p>
    <w:p w14:paraId="437AE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411095"/>
            <wp:effectExtent l="0" t="0" r="381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6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9" w:name="_Toc28090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7.招标文件定稿</w:t>
      </w:r>
      <w:bookmarkEnd w:id="9"/>
    </w:p>
    <w:p w14:paraId="387FA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代理机构项目经办人登录进入首页后，点击“招标文件定稿（代）”菜单进入页面，点击【定稿】按钮，进入招标文件定稿页面。</w:t>
      </w:r>
    </w:p>
    <w:p w14:paraId="64617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66690" cy="2520950"/>
            <wp:effectExtent l="0" t="0" r="10160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21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再点击左上角【保存并关闭】按钮即可完成定稿操作。</w:t>
      </w:r>
    </w:p>
    <w:p w14:paraId="126F6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66690" cy="2853055"/>
            <wp:effectExtent l="0" t="0" r="10160" b="4445"/>
            <wp:docPr id="16" name="图片 16" descr="dd3f1badfbc5eabddf4af12dc4e83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d3f1badfbc5eabddf4af12dc4e835b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2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</w:pP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-SA"/>
        </w:rPr>
        <w:t>定稿完成后，点击【发送】按钮，将会发送至采购人确定“定稿文件”。</w:t>
      </w:r>
    </w:p>
    <w:p w14:paraId="7294A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266690" cy="2518410"/>
            <wp:effectExtent l="0" t="0" r="10160" b="15240"/>
            <wp:docPr id="18" name="图片 18" descr="dbdb79f2aef2658fded06e73bb935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bdb79f2aef2658fded06e73bb9351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1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10" w:name="_Toc17899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8.公告备案</w:t>
      </w:r>
      <w:bookmarkEnd w:id="10"/>
    </w:p>
    <w:p w14:paraId="7E21B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进入“代理机构项目管理-公告备案”菜单，或在首页的待办事项中点击“公告待备案”入口，进入公告备案页面。</w:t>
      </w:r>
    </w:p>
    <w:p w14:paraId="70DDF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411095"/>
            <wp:effectExtent l="0" t="0" r="3810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0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点击【处理】按钮，进入公告信息备案页面。</w:t>
      </w:r>
    </w:p>
    <w:p w14:paraId="53B01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411095"/>
            <wp:effectExtent l="0" t="0" r="381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3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填写“开标时间”、“开标地点”、核对公告信息。点击【保存并发送】按钮发送至学校招标办。</w:t>
      </w:r>
    </w:p>
    <w:p w14:paraId="46FC26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411095"/>
            <wp:effectExtent l="0" t="0" r="381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3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  <w:bookmarkStart w:id="11" w:name="_Toc14622"/>
      <w:r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  <w:t>9.成交结果备案</w:t>
      </w:r>
      <w:bookmarkEnd w:id="11"/>
    </w:p>
    <w:p w14:paraId="4121D3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进入“成交结果管理-成交结果备案”菜单，或在首页的待办事项中点击“成交结果待备案”入口，进入成交结果备案页面。</w:t>
      </w:r>
    </w:p>
    <w:p w14:paraId="01AF2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520950"/>
            <wp:effectExtent l="0" t="0" r="101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3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点击【成交结果备案】按钮，进入到成交结果信息填写页面。</w:t>
      </w:r>
    </w:p>
    <w:p w14:paraId="7453D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520950"/>
            <wp:effectExtent l="0" t="0" r="10160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9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2"/>
          <w:sz w:val="24"/>
          <w:szCs w:val="22"/>
          <w:lang w:val="en-US" w:eastAsia="zh-CN" w:bidi="ar-SA"/>
        </w:rPr>
        <w:t>填写内容分为四大块：①录入项目投标供应商信息、②录入评标专家信息、③上传开标相关附件（如有请上传）、④填写中标（成交）公告内容。确认信息无误，点击【保存并提交】按钮，发送至学校招标办。</w:t>
      </w:r>
    </w:p>
    <w:p w14:paraId="7B017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2405" cy="2800350"/>
            <wp:effectExtent l="0" t="0" r="444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A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3040" cy="1917065"/>
            <wp:effectExtent l="0" t="0" r="381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D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0"/>
        <w:rPr>
          <w:rFonts w:hint="eastAsia" w:ascii="华文中宋" w:hAnsi="华文中宋" w:eastAsia="华文中宋" w:cs="华文中宋"/>
          <w:b/>
          <w:bCs/>
          <w:kern w:val="2"/>
          <w:sz w:val="30"/>
          <w:szCs w:val="30"/>
          <w:lang w:val="en-US" w:eastAsia="zh-CN" w:bidi="ar-SA"/>
        </w:rPr>
      </w:pPr>
    </w:p>
    <w:p w14:paraId="18181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lOTQ1NTAwMjY4ODU1YTQxZjA5YWQ2M2Q3ZjAxZTIifQ=="/>
  </w:docVars>
  <w:rsids>
    <w:rsidRoot w:val="64591EA1"/>
    <w:rsid w:val="01415CD2"/>
    <w:rsid w:val="018502B5"/>
    <w:rsid w:val="03D57856"/>
    <w:rsid w:val="06430677"/>
    <w:rsid w:val="07247C28"/>
    <w:rsid w:val="0D38267F"/>
    <w:rsid w:val="115B2587"/>
    <w:rsid w:val="123A0C48"/>
    <w:rsid w:val="124967F7"/>
    <w:rsid w:val="13D86969"/>
    <w:rsid w:val="15582931"/>
    <w:rsid w:val="17AE1AFB"/>
    <w:rsid w:val="195D67E4"/>
    <w:rsid w:val="19E7142C"/>
    <w:rsid w:val="1A50424D"/>
    <w:rsid w:val="1A7A4DA6"/>
    <w:rsid w:val="1A991DC1"/>
    <w:rsid w:val="1BD80B05"/>
    <w:rsid w:val="1C785BBB"/>
    <w:rsid w:val="1F0942A5"/>
    <w:rsid w:val="1FAD3B77"/>
    <w:rsid w:val="203171E6"/>
    <w:rsid w:val="21997739"/>
    <w:rsid w:val="2393640A"/>
    <w:rsid w:val="240F75BA"/>
    <w:rsid w:val="2578253B"/>
    <w:rsid w:val="258D78F4"/>
    <w:rsid w:val="271467FE"/>
    <w:rsid w:val="27D44D70"/>
    <w:rsid w:val="28720544"/>
    <w:rsid w:val="291D5D55"/>
    <w:rsid w:val="2928500F"/>
    <w:rsid w:val="2C3E2498"/>
    <w:rsid w:val="2D662499"/>
    <w:rsid w:val="2E1C1066"/>
    <w:rsid w:val="2F5C3B54"/>
    <w:rsid w:val="30F0369B"/>
    <w:rsid w:val="31D923AD"/>
    <w:rsid w:val="32C039D7"/>
    <w:rsid w:val="33696330"/>
    <w:rsid w:val="33CB5096"/>
    <w:rsid w:val="33F22CD8"/>
    <w:rsid w:val="36982066"/>
    <w:rsid w:val="37492C0F"/>
    <w:rsid w:val="3784633D"/>
    <w:rsid w:val="39A64349"/>
    <w:rsid w:val="39AD5554"/>
    <w:rsid w:val="3AF331CA"/>
    <w:rsid w:val="3B4C2CCE"/>
    <w:rsid w:val="3BD72EE0"/>
    <w:rsid w:val="3C033CD5"/>
    <w:rsid w:val="3E1865B3"/>
    <w:rsid w:val="3F002F99"/>
    <w:rsid w:val="3F65658D"/>
    <w:rsid w:val="3F9E23FA"/>
    <w:rsid w:val="40CD288C"/>
    <w:rsid w:val="418E02D8"/>
    <w:rsid w:val="428A508D"/>
    <w:rsid w:val="4290618A"/>
    <w:rsid w:val="4344263B"/>
    <w:rsid w:val="44280A19"/>
    <w:rsid w:val="47AF7221"/>
    <w:rsid w:val="482C45B3"/>
    <w:rsid w:val="48361254"/>
    <w:rsid w:val="48851592"/>
    <w:rsid w:val="49277653"/>
    <w:rsid w:val="4A1277D9"/>
    <w:rsid w:val="4BFE6CB9"/>
    <w:rsid w:val="4D3F2693"/>
    <w:rsid w:val="5003209D"/>
    <w:rsid w:val="532A2970"/>
    <w:rsid w:val="55C67B6F"/>
    <w:rsid w:val="57284198"/>
    <w:rsid w:val="57B0459E"/>
    <w:rsid w:val="57D937EB"/>
    <w:rsid w:val="59BD150F"/>
    <w:rsid w:val="5B0A0A3A"/>
    <w:rsid w:val="5B164EEF"/>
    <w:rsid w:val="5B57504B"/>
    <w:rsid w:val="5B6B5AFF"/>
    <w:rsid w:val="5B767711"/>
    <w:rsid w:val="5BEF690A"/>
    <w:rsid w:val="5E502159"/>
    <w:rsid w:val="603744AB"/>
    <w:rsid w:val="61A608C6"/>
    <w:rsid w:val="641D4987"/>
    <w:rsid w:val="64591EA1"/>
    <w:rsid w:val="681C5653"/>
    <w:rsid w:val="68CD4B9F"/>
    <w:rsid w:val="691B3DD3"/>
    <w:rsid w:val="6942558D"/>
    <w:rsid w:val="6A2F5396"/>
    <w:rsid w:val="6AF42374"/>
    <w:rsid w:val="6E08243E"/>
    <w:rsid w:val="6F5C0A2B"/>
    <w:rsid w:val="6FED2750"/>
    <w:rsid w:val="70467840"/>
    <w:rsid w:val="713752AB"/>
    <w:rsid w:val="73E14F86"/>
    <w:rsid w:val="74640AAD"/>
    <w:rsid w:val="755E73A9"/>
    <w:rsid w:val="76A12404"/>
    <w:rsid w:val="77286E27"/>
    <w:rsid w:val="79367B3E"/>
    <w:rsid w:val="7A165D08"/>
    <w:rsid w:val="7A905EC4"/>
    <w:rsid w:val="7BA14395"/>
    <w:rsid w:val="7BFC4340"/>
    <w:rsid w:val="7C542B44"/>
    <w:rsid w:val="7CE65DD7"/>
    <w:rsid w:val="7DA22646"/>
    <w:rsid w:val="7E144AFE"/>
    <w:rsid w:val="7E3663BF"/>
    <w:rsid w:val="7ED3011A"/>
    <w:rsid w:val="7EFB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GP（正文）"/>
    <w:basedOn w:val="1"/>
    <w:qFormat/>
    <w:uiPriority w:val="0"/>
    <w:pPr>
      <w:adjustRightInd w:val="0"/>
      <w:snapToGrid w:val="0"/>
      <w:spacing w:beforeLines="30"/>
      <w:ind w:firstLine="200" w:firstLineChars="200"/>
    </w:pPr>
    <w:rPr>
      <w:rFonts w:ascii="Arial" w:hAnsi="Arial" w:eastAsia="微软雅黑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1235</Words>
  <Characters>1320</Characters>
  <Lines>0</Lines>
  <Paragraphs>0</Paragraphs>
  <TotalTime>0</TotalTime>
  <ScaleCrop>false</ScaleCrop>
  <LinksUpToDate>false</LinksUpToDate>
  <CharactersWithSpaces>1354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2021-09-25T07:31:00Z</dcterms:created>
  <dc:creator>黄双林</dc:creator>
  <cp:lastModifiedBy>小紫</cp:lastModifiedBy>
  <dcterms:modified xsi:type="dcterms:W3CDTF">2025-09-14T14:08:38Z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94005CFA12E04FB7AFED85FDF47946E8</vt:lpwstr>
  </property>
  <property fmtid="{D5CDD505-2E9C-101B-9397-08002B2CF9AE}" pid="4" name="KSOTemplateDocerSaveRecord">
    <vt:lpwstr>eyJoZGlkIjoiODk2ODhjNzAxOTUwY2E1MGI3OWE0NWYzZDVlNDc2NGMiLCJ1c2VySWQiOiIxMTI0MTgyOTAyIn0=</vt:lpwstr>
  </property>
</Properties>
</file>